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color w:val="000000" w:themeColor="text1"/>
          <w:sz w:val="44"/>
          <w:szCs w:val="28"/>
          <w14:textFill>
            <w14:solidFill>
              <w14:schemeClr w14:val="tx1"/>
            </w14:solidFill>
          </w14:textFill>
        </w:rPr>
      </w:pPr>
      <w:bookmarkStart w:id="32" w:name="_GoBack"/>
      <w:bookmarkEnd w:id="32"/>
      <w:r>
        <w:rPr>
          <w:rFonts w:ascii="华文中宋" w:hAnsi="华文中宋" w:eastAsia="华文中宋"/>
          <w:b/>
          <w:color w:val="000000" w:themeColor="text1"/>
          <w:sz w:val="44"/>
          <w:szCs w:val="28"/>
          <w14:textFill>
            <w14:solidFill>
              <w14:schemeClr w14:val="tx1"/>
            </w14:solidFill>
          </w14:textFill>
        </w:rPr>
        <w:drawing>
          <wp:anchor distT="0" distB="0" distL="114300" distR="114300" simplePos="0" relativeHeight="251665408" behindDoc="1" locked="0" layoutInCell="1" allowOverlap="1">
            <wp:simplePos x="0" y="0"/>
            <wp:positionH relativeFrom="margin">
              <wp:align>right</wp:align>
            </wp:positionH>
            <wp:positionV relativeFrom="paragraph">
              <wp:posOffset>85725</wp:posOffset>
            </wp:positionV>
            <wp:extent cx="5276850" cy="8172450"/>
            <wp:effectExtent l="0" t="0" r="635"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1730" cy="8180236"/>
                    </a:xfrm>
                    <a:prstGeom prst="rect">
                      <a:avLst/>
                    </a:prstGeom>
                  </pic:spPr>
                </pic:pic>
              </a:graphicData>
            </a:graphic>
          </wp:anchor>
        </w:drawing>
      </w:r>
    </w:p>
    <w:p>
      <w:pPr>
        <w:jc w:val="center"/>
        <w:rPr>
          <w:rFonts w:ascii="华文中宋" w:hAnsi="华文中宋" w:eastAsia="华文中宋"/>
          <w:b/>
          <w:color w:val="000000" w:themeColor="text1"/>
          <w:sz w:val="44"/>
          <w:szCs w:val="28"/>
          <w14:textFill>
            <w14:solidFill>
              <w14:schemeClr w14:val="tx1"/>
            </w14:solidFill>
          </w14:textFill>
        </w:rPr>
      </w:pPr>
      <w:r>
        <w:rPr>
          <w:rFonts w:ascii="华文中宋" w:hAnsi="华文中宋" w:eastAsia="华文中宋"/>
          <w:b/>
          <w:color w:val="000000" w:themeColor="text1"/>
          <w:sz w:val="44"/>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posOffset>-19050</wp:posOffset>
                </wp:positionH>
                <wp:positionV relativeFrom="paragraph">
                  <wp:posOffset>224790</wp:posOffset>
                </wp:positionV>
                <wp:extent cx="5276850" cy="918210"/>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5276850" cy="917935"/>
                        </a:xfrm>
                        <a:prstGeom prst="rect">
                          <a:avLst/>
                        </a:prstGeom>
                        <a:solidFill>
                          <a:schemeClr val="bg1">
                            <a:lumMod val="95000"/>
                            <a:alpha val="0"/>
                          </a:schemeClr>
                        </a:solidFill>
                        <a:ln w="0">
                          <a:noFill/>
                          <a:miter lim="800000"/>
                        </a:ln>
                      </wps:spPr>
                      <wps:txbx>
                        <w:txbxContent>
                          <w:p>
                            <w:pPr>
                              <w:rPr>
                                <w:rFonts w:ascii="方正小标宋简体" w:hAnsi="方正小标宋简体" w:eastAsia="方正小标宋简体"/>
                                <w:b/>
                                <w:color w:val="FF0000"/>
                                <w:sz w:val="72"/>
                                <w:szCs w:val="72"/>
                              </w:rPr>
                            </w:pPr>
                            <w:r>
                              <w:rPr>
                                <w:rFonts w:hint="eastAsia" w:ascii="方正小标宋简体" w:hAnsi="方正小标宋简体" w:eastAsia="方正小标宋简体"/>
                                <w:b/>
                                <w:color w:val="FF0000"/>
                                <w:sz w:val="72"/>
                                <w:szCs w:val="72"/>
                              </w:rPr>
                              <w:t>会理县现代职业技术学校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17.7pt;height:72.3pt;width:415.5pt;mso-position-horizontal-relative:margin;z-index:251664384;mso-width-relative:page;mso-height-relative:page;" fillcolor="#F2F2F2 [3052]" filled="t" stroked="f" coordsize="21600,21600" o:gfxdata="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yl6Jk&#10;2gAAAAkBAAAPAAAAAAAAAAEAIAAAACIAAABkcnMvZG93bnJldi54bWxQSwECFAAUAAAACACHTuJA&#10;E73IUVgCAACRBAAADgAAAAAAAAABACAAAAApAQAAZHJzL2Uyb0RvYy54bWxQSwUGAAAAAAYABgBZ&#10;AQAA8wUAAAAA&#10;">
                <v:fill on="t" opacity="0f" focussize="0,0"/>
                <v:stroke on="f" weight="0pt" miterlimit="8" joinstyle="miter"/>
                <v:imagedata o:title=""/>
                <o:lock v:ext="edit" aspectratio="f"/>
                <v:textbox>
                  <w:txbxContent>
                    <w:p>
                      <w:pPr>
                        <w:rPr>
                          <w:rFonts w:ascii="方正小标宋简体" w:hAnsi="方正小标宋简体" w:eastAsia="方正小标宋简体"/>
                          <w:b/>
                          <w:color w:val="FF0000"/>
                          <w:sz w:val="72"/>
                          <w:szCs w:val="72"/>
                        </w:rPr>
                      </w:pPr>
                      <w:r>
                        <w:rPr>
                          <w:rFonts w:hint="eastAsia" w:ascii="方正小标宋简体" w:hAnsi="方正小标宋简体" w:eastAsia="方正小标宋简体"/>
                          <w:b/>
                          <w:color w:val="FF0000"/>
                          <w:sz w:val="72"/>
                          <w:szCs w:val="72"/>
                        </w:rPr>
                        <w:t>会理县现代职业技术学校</w:t>
                      </w:r>
                    </w:p>
                  </w:txbxContent>
                </v:textbox>
              </v:shape>
            </w:pict>
          </mc:Fallback>
        </mc:AlternateContent>
      </w: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r>
        <w:rPr>
          <w:rFonts w:ascii="华文中宋" w:hAnsi="华文中宋" w:eastAsia="华文中宋"/>
          <w:b/>
          <w:color w:val="000000" w:themeColor="text1"/>
          <w:sz w:val="44"/>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313055</wp:posOffset>
                </wp:positionH>
                <wp:positionV relativeFrom="paragraph">
                  <wp:posOffset>132715</wp:posOffset>
                </wp:positionV>
                <wp:extent cx="4795520" cy="1091565"/>
                <wp:effectExtent l="0" t="0" r="0" b="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4795520" cy="1091565"/>
                        </a:xfrm>
                        <a:prstGeom prst="rect">
                          <a:avLst/>
                        </a:prstGeom>
                        <a:solidFill>
                          <a:schemeClr val="bg1">
                            <a:lumMod val="95000"/>
                            <a:alpha val="0"/>
                          </a:schemeClr>
                        </a:solidFill>
                        <a:ln w="0">
                          <a:noFill/>
                          <a:miter lim="800000"/>
                        </a:ln>
                      </wps:spPr>
                      <wps:txbx>
                        <w:txbxContent>
                          <w:p>
                            <w:pPr>
                              <w:rPr>
                                <w:rFonts w:ascii="方正小标宋简体" w:hAnsi="方正小标宋简体" w:eastAsia="方正小标宋简体"/>
                                <w:b/>
                                <w:color w:val="FFFF00"/>
                                <w:sz w:val="120"/>
                                <w:szCs w:val="120"/>
                              </w:rPr>
                            </w:pPr>
                            <w:r>
                              <w:rPr>
                                <w:rFonts w:hint="eastAsia" w:ascii="方正小标宋简体" w:hAnsi="方正小标宋简体" w:eastAsia="方正小标宋简体"/>
                                <w:b/>
                                <w:color w:val="FFFF00"/>
                                <w:sz w:val="120"/>
                                <w:szCs w:val="120"/>
                              </w:rPr>
                              <w:t>年度质量报告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4.65pt;margin-top:10.45pt;height:85.95pt;width:377.6pt;z-index:251661312;mso-width-relative:page;mso-height-relative:margin;mso-height-percent:200;" fillcolor="#F2F2F2 [3052]" filled="t" stroked="f" coordsize="21600,21600" o:gfxdata="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dGU0dYAAAAJ&#10;AQAADwAAAAAAAAABACAAAAAiAAAAZHJzL2Rvd25yZXYueG1sUEsBAhQAFAAAAAgAh07iQNKLp3hX&#10;AgAAkgQAAA4AAAAAAAAAAQAgAAAAJQEAAGRycy9lMm9Eb2MueG1sUEsFBgAAAAAGAAYAWQEAAO4F&#10;AAAAAA==&#10;">
                <v:fill on="t" opacity="0f" focussize="0,0"/>
                <v:stroke on="f" weight="0pt" miterlimit="8" joinstyle="miter"/>
                <v:imagedata o:title=""/>
                <o:lock v:ext="edit" aspectratio="f"/>
                <v:textbox style="mso-fit-shape-to-text:t;">
                  <w:txbxContent>
                    <w:p>
                      <w:pPr>
                        <w:rPr>
                          <w:rFonts w:ascii="方正小标宋简体" w:hAnsi="方正小标宋简体" w:eastAsia="方正小标宋简体"/>
                          <w:b/>
                          <w:color w:val="FFFF00"/>
                          <w:sz w:val="120"/>
                          <w:szCs w:val="120"/>
                        </w:rPr>
                      </w:pPr>
                      <w:r>
                        <w:rPr>
                          <w:rFonts w:hint="eastAsia" w:ascii="方正小标宋简体" w:hAnsi="方正小标宋简体" w:eastAsia="方正小标宋简体"/>
                          <w:b/>
                          <w:color w:val="FFFF00"/>
                          <w:sz w:val="120"/>
                          <w:szCs w:val="120"/>
                        </w:rPr>
                        <w:t>年度质量报告</w:t>
                      </w:r>
                    </w:p>
                  </w:txbxContent>
                </v:textbox>
              </v:shape>
            </w:pict>
          </mc:Fallback>
        </mc:AlternateContent>
      </w: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44"/>
          <w:szCs w:val="28"/>
          <w14:textFill>
            <w14:solidFill>
              <w14:schemeClr w14:val="tx1"/>
            </w14:solidFill>
          </w14:textFill>
        </w:rPr>
      </w:pPr>
    </w:p>
    <w:p>
      <w:pPr>
        <w:jc w:val="center"/>
        <w:rPr>
          <w:rFonts w:ascii="华文中宋" w:hAnsi="华文中宋" w:eastAsia="华文中宋"/>
          <w:b/>
          <w:color w:val="000000" w:themeColor="text1"/>
          <w:sz w:val="28"/>
          <w:szCs w:val="28"/>
          <w14:textFill>
            <w14:solidFill>
              <w14:schemeClr w14:val="tx1"/>
            </w14:solidFill>
          </w14:textFill>
        </w:rPr>
        <w:sectPr>
          <w:footerReference r:id="rId6" w:type="first"/>
          <w:headerReference r:id="rId3" w:type="default"/>
          <w:footerReference r:id="rId4" w:type="default"/>
          <w:footerReference r:id="rId5" w:type="even"/>
          <w:pgSz w:w="11906" w:h="16838"/>
          <w:pgMar w:top="1440" w:right="1797" w:bottom="1440" w:left="1797" w:header="851" w:footer="992" w:gutter="0"/>
          <w:pgNumType w:start="0"/>
          <w:cols w:space="425" w:num="1"/>
          <w:titlePg/>
          <w:docGrid w:type="lines" w:linePitch="312" w:charSpace="0"/>
        </w:sectPr>
      </w:pPr>
      <w:r>
        <w:rPr>
          <w:rFonts w:hint="eastAsia" w:ascii="华文中宋" w:hAnsi="华文中宋" w:eastAsia="华文中宋"/>
          <w:color w:val="000000" w:themeColor="text1"/>
          <w:sz w:val="28"/>
          <w:szCs w:val="28"/>
          <w14:textFill>
            <w14:solidFill>
              <w14:schemeClr w14:val="tx1"/>
            </w14:solidFill>
          </w14:textFill>
        </w:rPr>
        <w:t>会理县现代职业</w:t>
      </w:r>
      <w:r>
        <w:rPr>
          <w:rFonts w:hint="eastAsia" w:ascii="华文中宋" w:hAnsi="华文中宋" w:eastAsia="华文中宋"/>
          <w:b/>
          <w:color w:val="000000" w:themeColor="text1"/>
          <w:sz w:val="28"/>
          <w:szCs w:val="28"/>
          <w14:textFill>
            <w14:solidFill>
              <w14:schemeClr w14:val="tx1"/>
            </w14:solidFill>
          </w14:textFill>
        </w:rPr>
        <w:t>技术学校 编制</w:t>
      </w:r>
    </w:p>
    <w:sdt>
      <w:sdtPr>
        <w:rPr>
          <w:rFonts w:asciiTheme="minorHAnsi" w:hAnsiTheme="minorHAnsi" w:eastAsiaTheme="minorEastAsia" w:cstheme="minorBidi"/>
          <w:b w:val="0"/>
          <w:bCs w:val="0"/>
          <w:color w:val="000000" w:themeColor="text1"/>
          <w:kern w:val="2"/>
          <w:sz w:val="21"/>
          <w:szCs w:val="22"/>
          <w:lang w:val="zh-CN"/>
          <w14:textFill>
            <w14:solidFill>
              <w14:schemeClr w14:val="tx1"/>
            </w14:solidFill>
          </w14:textFill>
        </w:rPr>
        <w:id w:val="-201335481"/>
        <w:docPartObj>
          <w:docPartGallery w:val="Table of Contents"/>
          <w:docPartUnique/>
        </w:docPartObj>
      </w:sdtPr>
      <w:sdtEndPr>
        <w:rPr>
          <w:rFonts w:asciiTheme="minorHAnsi" w:hAnsiTheme="minorHAnsi" w:eastAsiaTheme="minorEastAsia" w:cstheme="minorBidi"/>
          <w:b w:val="0"/>
          <w:bCs w:val="0"/>
          <w:color w:val="000000" w:themeColor="text1"/>
          <w:kern w:val="2"/>
          <w:sz w:val="21"/>
          <w:szCs w:val="22"/>
          <w:lang w:val="zh-CN"/>
          <w14:textFill>
            <w14:solidFill>
              <w14:schemeClr w14:val="tx1"/>
            </w14:solidFill>
          </w14:textFill>
        </w:rPr>
      </w:sdtEndPr>
      <w:sdtContent>
        <w:p>
          <w:pPr>
            <w:pStyle w:val="21"/>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8"/>
            <w:tabs>
              <w:tab w:val="right" w:leader="dot" w:pos="8302"/>
            </w:tabs>
            <w:rPr>
              <w:kern w:val="2"/>
              <w:sz w:val="21"/>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"_Toc60300666" </w:instrText>
          </w:r>
          <w:r>
            <w:fldChar w:fldCharType="separate"/>
          </w:r>
          <w:r>
            <w:rPr>
              <w:rStyle w:val="13"/>
            </w:rPr>
            <w:t>1.学校情况</w:t>
          </w:r>
          <w:r>
            <w:tab/>
          </w:r>
          <w:r>
            <w:fldChar w:fldCharType="begin"/>
          </w:r>
          <w:r>
            <w:instrText xml:space="preserve"> PAGEREF _Toc60300666 \h </w:instrText>
          </w:r>
          <w:r>
            <w:fldChar w:fldCharType="separate"/>
          </w:r>
          <w:r>
            <w:t>- 1 -</w:t>
          </w:r>
          <w:r>
            <w:fldChar w:fldCharType="end"/>
          </w:r>
          <w:r>
            <w:fldChar w:fldCharType="end"/>
          </w:r>
        </w:p>
        <w:p>
          <w:pPr>
            <w:pStyle w:val="9"/>
            <w:tabs>
              <w:tab w:val="right" w:leader="dot" w:pos="8302"/>
            </w:tabs>
            <w:rPr>
              <w:kern w:val="2"/>
              <w:sz w:val="21"/>
            </w:rPr>
          </w:pPr>
          <w:r>
            <w:fldChar w:fldCharType="begin"/>
          </w:r>
          <w:r>
            <w:instrText xml:space="preserve"> HYPERLINK \l "_Toc60300667" </w:instrText>
          </w:r>
          <w:r>
            <w:fldChar w:fldCharType="separate"/>
          </w:r>
          <w:r>
            <w:rPr>
              <w:rStyle w:val="13"/>
            </w:rPr>
            <w:t>1.1学校概况</w:t>
          </w:r>
          <w:r>
            <w:tab/>
          </w:r>
          <w:r>
            <w:fldChar w:fldCharType="begin"/>
          </w:r>
          <w:r>
            <w:instrText xml:space="preserve"> PAGEREF _Toc60300667 \h </w:instrText>
          </w:r>
          <w:r>
            <w:fldChar w:fldCharType="separate"/>
          </w:r>
          <w:r>
            <w:t>- 1 -</w:t>
          </w:r>
          <w:r>
            <w:fldChar w:fldCharType="end"/>
          </w:r>
          <w:r>
            <w:fldChar w:fldCharType="end"/>
          </w:r>
        </w:p>
        <w:p>
          <w:pPr>
            <w:pStyle w:val="9"/>
            <w:tabs>
              <w:tab w:val="right" w:leader="dot" w:pos="8302"/>
            </w:tabs>
            <w:rPr>
              <w:kern w:val="2"/>
              <w:sz w:val="21"/>
            </w:rPr>
          </w:pPr>
          <w:r>
            <w:fldChar w:fldCharType="begin"/>
          </w:r>
          <w:r>
            <w:instrText xml:space="preserve"> HYPERLINK \l "_Toc60300668" </w:instrText>
          </w:r>
          <w:r>
            <w:fldChar w:fldCharType="separate"/>
          </w:r>
          <w:r>
            <w:rPr>
              <w:rStyle w:val="13"/>
            </w:rPr>
            <w:t>1.2 学生情况</w:t>
          </w:r>
          <w:r>
            <w:tab/>
          </w:r>
          <w:r>
            <w:fldChar w:fldCharType="begin"/>
          </w:r>
          <w:r>
            <w:instrText xml:space="preserve"> PAGEREF _Toc60300668 \h </w:instrText>
          </w:r>
          <w:r>
            <w:fldChar w:fldCharType="separate"/>
          </w:r>
          <w:r>
            <w:t>- 2 -</w:t>
          </w:r>
          <w:r>
            <w:fldChar w:fldCharType="end"/>
          </w:r>
          <w:r>
            <w:fldChar w:fldCharType="end"/>
          </w:r>
        </w:p>
        <w:p>
          <w:pPr>
            <w:pStyle w:val="9"/>
            <w:tabs>
              <w:tab w:val="right" w:leader="dot" w:pos="8302"/>
            </w:tabs>
            <w:rPr>
              <w:kern w:val="2"/>
              <w:sz w:val="21"/>
            </w:rPr>
          </w:pPr>
          <w:r>
            <w:fldChar w:fldCharType="begin"/>
          </w:r>
          <w:r>
            <w:instrText xml:space="preserve"> HYPERLINK \l "_Toc60300669" </w:instrText>
          </w:r>
          <w:r>
            <w:fldChar w:fldCharType="separate"/>
          </w:r>
          <w:r>
            <w:rPr>
              <w:rStyle w:val="13"/>
            </w:rPr>
            <w:t>1.3教师队伍</w:t>
          </w:r>
          <w:r>
            <w:tab/>
          </w:r>
          <w:r>
            <w:fldChar w:fldCharType="begin"/>
          </w:r>
          <w:r>
            <w:instrText xml:space="preserve"> PAGEREF _Toc60300669 \h </w:instrText>
          </w:r>
          <w:r>
            <w:fldChar w:fldCharType="separate"/>
          </w:r>
          <w:r>
            <w:t>- 2 -</w:t>
          </w:r>
          <w:r>
            <w:fldChar w:fldCharType="end"/>
          </w:r>
          <w:r>
            <w:fldChar w:fldCharType="end"/>
          </w:r>
        </w:p>
        <w:p>
          <w:pPr>
            <w:pStyle w:val="9"/>
            <w:tabs>
              <w:tab w:val="right" w:leader="dot" w:pos="8302"/>
            </w:tabs>
            <w:rPr>
              <w:kern w:val="2"/>
              <w:sz w:val="21"/>
            </w:rPr>
          </w:pPr>
          <w:r>
            <w:fldChar w:fldCharType="begin"/>
          </w:r>
          <w:r>
            <w:instrText xml:space="preserve"> HYPERLINK \l "_Toc60300670" </w:instrText>
          </w:r>
          <w:r>
            <w:fldChar w:fldCharType="separate"/>
          </w:r>
          <w:r>
            <w:rPr>
              <w:rStyle w:val="13"/>
            </w:rPr>
            <w:t>1.4设施设备</w:t>
          </w:r>
          <w:r>
            <w:tab/>
          </w:r>
          <w:r>
            <w:fldChar w:fldCharType="begin"/>
          </w:r>
          <w:r>
            <w:instrText xml:space="preserve"> PAGEREF _Toc60300670 \h </w:instrText>
          </w:r>
          <w:r>
            <w:fldChar w:fldCharType="separate"/>
          </w:r>
          <w:r>
            <w:t>- 3 -</w:t>
          </w:r>
          <w:r>
            <w:fldChar w:fldCharType="end"/>
          </w:r>
          <w:r>
            <w:fldChar w:fldCharType="end"/>
          </w:r>
        </w:p>
        <w:p>
          <w:pPr>
            <w:pStyle w:val="8"/>
            <w:tabs>
              <w:tab w:val="right" w:leader="dot" w:pos="8302"/>
            </w:tabs>
            <w:rPr>
              <w:kern w:val="2"/>
              <w:sz w:val="21"/>
            </w:rPr>
          </w:pPr>
          <w:r>
            <w:fldChar w:fldCharType="begin"/>
          </w:r>
          <w:r>
            <w:instrText xml:space="preserve"> HYPERLINK \l "_Toc60300671" </w:instrText>
          </w:r>
          <w:r>
            <w:fldChar w:fldCharType="separate"/>
          </w:r>
          <w:r>
            <w:rPr>
              <w:rStyle w:val="13"/>
            </w:rPr>
            <w:t>2.学生发展</w:t>
          </w:r>
          <w:r>
            <w:tab/>
          </w:r>
          <w:r>
            <w:fldChar w:fldCharType="begin"/>
          </w:r>
          <w:r>
            <w:instrText xml:space="preserve"> PAGEREF _Toc60300671 \h </w:instrText>
          </w:r>
          <w:r>
            <w:fldChar w:fldCharType="separate"/>
          </w:r>
          <w:r>
            <w:t>- 4 -</w:t>
          </w:r>
          <w:r>
            <w:fldChar w:fldCharType="end"/>
          </w:r>
          <w:r>
            <w:fldChar w:fldCharType="end"/>
          </w:r>
        </w:p>
        <w:p>
          <w:pPr>
            <w:pStyle w:val="8"/>
            <w:tabs>
              <w:tab w:val="right" w:leader="dot" w:pos="8302"/>
            </w:tabs>
            <w:rPr>
              <w:kern w:val="2"/>
              <w:sz w:val="21"/>
            </w:rPr>
          </w:pPr>
          <w:r>
            <w:fldChar w:fldCharType="begin"/>
          </w:r>
          <w:r>
            <w:instrText xml:space="preserve"> HYPERLINK \l "_Toc60300672" </w:instrText>
          </w:r>
          <w:r>
            <w:fldChar w:fldCharType="separate"/>
          </w:r>
          <w:r>
            <w:rPr>
              <w:rStyle w:val="13"/>
            </w:rPr>
            <w:t>2.1学生素质</w:t>
          </w:r>
          <w:r>
            <w:tab/>
          </w:r>
          <w:r>
            <w:fldChar w:fldCharType="begin"/>
          </w:r>
          <w:r>
            <w:instrText xml:space="preserve"> PAGEREF _Toc60300672 \h </w:instrText>
          </w:r>
          <w:r>
            <w:fldChar w:fldCharType="separate"/>
          </w:r>
          <w:r>
            <w:t>- 4 -</w:t>
          </w:r>
          <w:r>
            <w:fldChar w:fldCharType="end"/>
          </w:r>
          <w:r>
            <w:fldChar w:fldCharType="end"/>
          </w:r>
        </w:p>
        <w:p>
          <w:pPr>
            <w:pStyle w:val="9"/>
            <w:tabs>
              <w:tab w:val="right" w:leader="dot" w:pos="8302"/>
            </w:tabs>
            <w:rPr>
              <w:kern w:val="2"/>
              <w:sz w:val="21"/>
            </w:rPr>
          </w:pPr>
          <w:r>
            <w:fldChar w:fldCharType="begin"/>
          </w:r>
          <w:r>
            <w:instrText xml:space="preserve"> HYPERLINK \l "_Toc60300673" </w:instrText>
          </w:r>
          <w:r>
            <w:fldChar w:fldCharType="separate"/>
          </w:r>
          <w:r>
            <w:rPr>
              <w:rStyle w:val="13"/>
            </w:rPr>
            <w:t>2.2在校体验</w:t>
          </w:r>
          <w:r>
            <w:tab/>
          </w:r>
          <w:r>
            <w:fldChar w:fldCharType="begin"/>
          </w:r>
          <w:r>
            <w:instrText xml:space="preserve"> PAGEREF _Toc60300673 \h </w:instrText>
          </w:r>
          <w:r>
            <w:fldChar w:fldCharType="separate"/>
          </w:r>
          <w:r>
            <w:t>- 5 -</w:t>
          </w:r>
          <w:r>
            <w:fldChar w:fldCharType="end"/>
          </w:r>
          <w:r>
            <w:fldChar w:fldCharType="end"/>
          </w:r>
        </w:p>
        <w:p>
          <w:pPr>
            <w:pStyle w:val="9"/>
            <w:tabs>
              <w:tab w:val="right" w:leader="dot" w:pos="8302"/>
            </w:tabs>
            <w:rPr>
              <w:kern w:val="2"/>
              <w:sz w:val="21"/>
            </w:rPr>
          </w:pPr>
          <w:r>
            <w:fldChar w:fldCharType="begin"/>
          </w:r>
          <w:r>
            <w:instrText xml:space="preserve"> HYPERLINK \l "_Toc60300674" </w:instrText>
          </w:r>
          <w:r>
            <w:fldChar w:fldCharType="separate"/>
          </w:r>
          <w:r>
            <w:rPr>
              <w:rStyle w:val="13"/>
            </w:rPr>
            <w:t>2.3资助情况</w:t>
          </w:r>
          <w:r>
            <w:tab/>
          </w:r>
          <w:r>
            <w:fldChar w:fldCharType="begin"/>
          </w:r>
          <w:r>
            <w:instrText xml:space="preserve"> PAGEREF _Toc60300674 \h </w:instrText>
          </w:r>
          <w:r>
            <w:fldChar w:fldCharType="separate"/>
          </w:r>
          <w:r>
            <w:t>- 8 -</w:t>
          </w:r>
          <w:r>
            <w:fldChar w:fldCharType="end"/>
          </w:r>
          <w:r>
            <w:fldChar w:fldCharType="end"/>
          </w:r>
        </w:p>
        <w:p>
          <w:pPr>
            <w:pStyle w:val="9"/>
            <w:tabs>
              <w:tab w:val="right" w:leader="dot" w:pos="8302"/>
            </w:tabs>
            <w:rPr>
              <w:kern w:val="2"/>
              <w:sz w:val="21"/>
            </w:rPr>
          </w:pPr>
          <w:r>
            <w:fldChar w:fldCharType="begin"/>
          </w:r>
          <w:r>
            <w:instrText xml:space="preserve"> HYPERLINK \l "_Toc60300675" </w:instrText>
          </w:r>
          <w:r>
            <w:fldChar w:fldCharType="separate"/>
          </w:r>
          <w:r>
            <w:rPr>
              <w:rStyle w:val="13"/>
            </w:rPr>
            <w:t>2.4就业质量</w:t>
          </w:r>
          <w:r>
            <w:tab/>
          </w:r>
          <w:r>
            <w:fldChar w:fldCharType="begin"/>
          </w:r>
          <w:r>
            <w:instrText xml:space="preserve"> PAGEREF _Toc60300675 \h </w:instrText>
          </w:r>
          <w:r>
            <w:fldChar w:fldCharType="separate"/>
          </w:r>
          <w:r>
            <w:t>- 9 -</w:t>
          </w:r>
          <w:r>
            <w:fldChar w:fldCharType="end"/>
          </w:r>
          <w:r>
            <w:fldChar w:fldCharType="end"/>
          </w:r>
        </w:p>
        <w:p>
          <w:pPr>
            <w:pStyle w:val="9"/>
            <w:tabs>
              <w:tab w:val="right" w:leader="dot" w:pos="8302"/>
            </w:tabs>
            <w:rPr>
              <w:kern w:val="2"/>
              <w:sz w:val="21"/>
            </w:rPr>
          </w:pPr>
          <w:r>
            <w:fldChar w:fldCharType="begin"/>
          </w:r>
          <w:r>
            <w:instrText xml:space="preserve"> HYPERLINK \l "_Toc60300676" </w:instrText>
          </w:r>
          <w:r>
            <w:fldChar w:fldCharType="separate"/>
          </w:r>
          <w:r>
            <w:rPr>
              <w:rStyle w:val="13"/>
            </w:rPr>
            <w:t>2.5职业发展</w:t>
          </w:r>
          <w:r>
            <w:tab/>
          </w:r>
          <w:r>
            <w:fldChar w:fldCharType="begin"/>
          </w:r>
          <w:r>
            <w:instrText xml:space="preserve"> PAGEREF _Toc60300676 \h </w:instrText>
          </w:r>
          <w:r>
            <w:fldChar w:fldCharType="separate"/>
          </w:r>
          <w:r>
            <w:t>- 9 -</w:t>
          </w:r>
          <w:r>
            <w:fldChar w:fldCharType="end"/>
          </w:r>
          <w:r>
            <w:fldChar w:fldCharType="end"/>
          </w:r>
        </w:p>
        <w:p>
          <w:pPr>
            <w:pStyle w:val="8"/>
            <w:tabs>
              <w:tab w:val="right" w:leader="dot" w:pos="8302"/>
            </w:tabs>
            <w:rPr>
              <w:kern w:val="2"/>
              <w:sz w:val="21"/>
            </w:rPr>
          </w:pPr>
          <w:r>
            <w:fldChar w:fldCharType="begin"/>
          </w:r>
          <w:r>
            <w:instrText xml:space="preserve"> HYPERLINK \l "_Toc60300677" </w:instrText>
          </w:r>
          <w:r>
            <w:fldChar w:fldCharType="separate"/>
          </w:r>
          <w:r>
            <w:rPr>
              <w:rStyle w:val="13"/>
            </w:rPr>
            <w:t>3.质量保障措施</w:t>
          </w:r>
          <w:r>
            <w:tab/>
          </w:r>
          <w:r>
            <w:fldChar w:fldCharType="begin"/>
          </w:r>
          <w:r>
            <w:instrText xml:space="preserve"> PAGEREF _Toc60300677 \h </w:instrText>
          </w:r>
          <w:r>
            <w:fldChar w:fldCharType="separate"/>
          </w:r>
          <w:r>
            <w:t>- 10 -</w:t>
          </w:r>
          <w:r>
            <w:fldChar w:fldCharType="end"/>
          </w:r>
          <w:r>
            <w:fldChar w:fldCharType="end"/>
          </w:r>
        </w:p>
        <w:p>
          <w:pPr>
            <w:pStyle w:val="9"/>
            <w:tabs>
              <w:tab w:val="right" w:leader="dot" w:pos="8302"/>
            </w:tabs>
            <w:rPr>
              <w:kern w:val="2"/>
              <w:sz w:val="21"/>
            </w:rPr>
          </w:pPr>
          <w:r>
            <w:fldChar w:fldCharType="begin"/>
          </w:r>
          <w:r>
            <w:instrText xml:space="preserve"> HYPERLINK \l "_Toc60300678" </w:instrText>
          </w:r>
          <w:r>
            <w:fldChar w:fldCharType="separate"/>
          </w:r>
          <w:r>
            <w:rPr>
              <w:rStyle w:val="13"/>
            </w:rPr>
            <w:t>3.1专业动态调整</w:t>
          </w:r>
          <w:r>
            <w:tab/>
          </w:r>
          <w:r>
            <w:fldChar w:fldCharType="begin"/>
          </w:r>
          <w:r>
            <w:instrText xml:space="preserve"> PAGEREF _Toc60300678 \h </w:instrText>
          </w:r>
          <w:r>
            <w:fldChar w:fldCharType="separate"/>
          </w:r>
          <w:r>
            <w:t>- 10 -</w:t>
          </w:r>
          <w:r>
            <w:fldChar w:fldCharType="end"/>
          </w:r>
          <w:r>
            <w:fldChar w:fldCharType="end"/>
          </w:r>
        </w:p>
        <w:p>
          <w:pPr>
            <w:pStyle w:val="9"/>
            <w:tabs>
              <w:tab w:val="right" w:leader="dot" w:pos="8302"/>
            </w:tabs>
            <w:rPr>
              <w:kern w:val="2"/>
              <w:sz w:val="21"/>
            </w:rPr>
          </w:pPr>
          <w:r>
            <w:fldChar w:fldCharType="begin"/>
          </w:r>
          <w:r>
            <w:instrText xml:space="preserve"> HYPERLINK \l "_Toc60300679" </w:instrText>
          </w:r>
          <w:r>
            <w:fldChar w:fldCharType="separate"/>
          </w:r>
          <w:r>
            <w:rPr>
              <w:rStyle w:val="13"/>
            </w:rPr>
            <w:t>3.2教育教学改革</w:t>
          </w:r>
          <w:r>
            <w:tab/>
          </w:r>
          <w:r>
            <w:fldChar w:fldCharType="begin"/>
          </w:r>
          <w:r>
            <w:instrText xml:space="preserve"> PAGEREF _Toc60300679 \h </w:instrText>
          </w:r>
          <w:r>
            <w:fldChar w:fldCharType="separate"/>
          </w:r>
          <w:r>
            <w:t>- 11 -</w:t>
          </w:r>
          <w:r>
            <w:fldChar w:fldCharType="end"/>
          </w:r>
          <w:r>
            <w:fldChar w:fldCharType="end"/>
          </w:r>
        </w:p>
        <w:p>
          <w:pPr>
            <w:pStyle w:val="9"/>
            <w:tabs>
              <w:tab w:val="right" w:leader="dot" w:pos="8302"/>
            </w:tabs>
            <w:rPr>
              <w:kern w:val="2"/>
              <w:sz w:val="21"/>
            </w:rPr>
          </w:pPr>
          <w:r>
            <w:fldChar w:fldCharType="begin"/>
          </w:r>
          <w:r>
            <w:instrText xml:space="preserve"> HYPERLINK \l "_Toc60300680" </w:instrText>
          </w:r>
          <w:r>
            <w:fldChar w:fldCharType="separate"/>
          </w:r>
          <w:r>
            <w:rPr>
              <w:rStyle w:val="13"/>
            </w:rPr>
            <w:t>3.3 教师培养培训</w:t>
          </w:r>
          <w:r>
            <w:tab/>
          </w:r>
          <w:r>
            <w:fldChar w:fldCharType="begin"/>
          </w:r>
          <w:r>
            <w:instrText xml:space="preserve"> PAGEREF _Toc60300680 \h </w:instrText>
          </w:r>
          <w:r>
            <w:fldChar w:fldCharType="separate"/>
          </w:r>
          <w:r>
            <w:t>- 13 -</w:t>
          </w:r>
          <w:r>
            <w:fldChar w:fldCharType="end"/>
          </w:r>
          <w:r>
            <w:fldChar w:fldCharType="end"/>
          </w:r>
        </w:p>
        <w:p>
          <w:pPr>
            <w:pStyle w:val="9"/>
            <w:tabs>
              <w:tab w:val="right" w:leader="dot" w:pos="8302"/>
            </w:tabs>
            <w:rPr>
              <w:kern w:val="2"/>
              <w:sz w:val="21"/>
            </w:rPr>
          </w:pPr>
          <w:r>
            <w:fldChar w:fldCharType="begin"/>
          </w:r>
          <w:r>
            <w:instrText xml:space="preserve"> HYPERLINK \l "_Toc60300681" </w:instrText>
          </w:r>
          <w:r>
            <w:fldChar w:fldCharType="separate"/>
          </w:r>
          <w:r>
            <w:rPr>
              <w:rStyle w:val="13"/>
            </w:rPr>
            <w:t>3.4 规范管理情况</w:t>
          </w:r>
          <w:r>
            <w:tab/>
          </w:r>
          <w:r>
            <w:fldChar w:fldCharType="begin"/>
          </w:r>
          <w:r>
            <w:instrText xml:space="preserve"> PAGEREF _Toc60300681 \h </w:instrText>
          </w:r>
          <w:r>
            <w:fldChar w:fldCharType="separate"/>
          </w:r>
          <w:r>
            <w:t>- 14 -</w:t>
          </w:r>
          <w:r>
            <w:fldChar w:fldCharType="end"/>
          </w:r>
          <w:r>
            <w:fldChar w:fldCharType="end"/>
          </w:r>
        </w:p>
        <w:p>
          <w:pPr>
            <w:pStyle w:val="9"/>
            <w:tabs>
              <w:tab w:val="right" w:leader="dot" w:pos="8302"/>
            </w:tabs>
            <w:rPr>
              <w:kern w:val="2"/>
              <w:sz w:val="21"/>
            </w:rPr>
          </w:pPr>
          <w:r>
            <w:fldChar w:fldCharType="begin"/>
          </w:r>
          <w:r>
            <w:instrText xml:space="preserve"> HYPERLINK \l "_Toc60300682" </w:instrText>
          </w:r>
          <w:r>
            <w:fldChar w:fldCharType="separate"/>
          </w:r>
          <w:r>
            <w:rPr>
              <w:rStyle w:val="13"/>
            </w:rPr>
            <w:t>3.5 德育工作情况</w:t>
          </w:r>
          <w:r>
            <w:tab/>
          </w:r>
          <w:r>
            <w:fldChar w:fldCharType="begin"/>
          </w:r>
          <w:r>
            <w:instrText xml:space="preserve"> PAGEREF _Toc60300682 \h </w:instrText>
          </w:r>
          <w:r>
            <w:fldChar w:fldCharType="separate"/>
          </w:r>
          <w:r>
            <w:t>- 15 -</w:t>
          </w:r>
          <w:r>
            <w:fldChar w:fldCharType="end"/>
          </w:r>
          <w:r>
            <w:fldChar w:fldCharType="end"/>
          </w:r>
        </w:p>
        <w:p>
          <w:pPr>
            <w:pStyle w:val="9"/>
            <w:tabs>
              <w:tab w:val="right" w:leader="dot" w:pos="8302"/>
            </w:tabs>
            <w:rPr>
              <w:kern w:val="2"/>
              <w:sz w:val="21"/>
            </w:rPr>
          </w:pPr>
          <w:r>
            <w:fldChar w:fldCharType="begin"/>
          </w:r>
          <w:r>
            <w:instrText xml:space="preserve"> HYPERLINK \l "_Toc60300683" </w:instrText>
          </w:r>
          <w:r>
            <w:fldChar w:fldCharType="separate"/>
          </w:r>
          <w:r>
            <w:rPr>
              <w:rStyle w:val="13"/>
            </w:rPr>
            <w:t>3.6党建情况</w:t>
          </w:r>
          <w:r>
            <w:tab/>
          </w:r>
          <w:r>
            <w:fldChar w:fldCharType="begin"/>
          </w:r>
          <w:r>
            <w:instrText xml:space="preserve"> PAGEREF _Toc60300683 \h </w:instrText>
          </w:r>
          <w:r>
            <w:fldChar w:fldCharType="separate"/>
          </w:r>
          <w:r>
            <w:t>- 17 -</w:t>
          </w:r>
          <w:r>
            <w:fldChar w:fldCharType="end"/>
          </w:r>
          <w:r>
            <w:fldChar w:fldCharType="end"/>
          </w:r>
        </w:p>
        <w:p>
          <w:pPr>
            <w:pStyle w:val="8"/>
            <w:tabs>
              <w:tab w:val="right" w:leader="dot" w:pos="8302"/>
            </w:tabs>
            <w:rPr>
              <w:kern w:val="2"/>
              <w:sz w:val="21"/>
            </w:rPr>
          </w:pPr>
          <w:r>
            <w:fldChar w:fldCharType="begin"/>
          </w:r>
          <w:r>
            <w:instrText xml:space="preserve"> HYPERLINK \l "_Toc60300684" </w:instrText>
          </w:r>
          <w:r>
            <w:fldChar w:fldCharType="separate"/>
          </w:r>
          <w:r>
            <w:rPr>
              <w:rStyle w:val="13"/>
            </w:rPr>
            <w:t>4.校企合作</w:t>
          </w:r>
          <w:r>
            <w:tab/>
          </w:r>
          <w:r>
            <w:fldChar w:fldCharType="begin"/>
          </w:r>
          <w:r>
            <w:instrText xml:space="preserve"> PAGEREF _Toc60300684 \h </w:instrText>
          </w:r>
          <w:r>
            <w:fldChar w:fldCharType="separate"/>
          </w:r>
          <w:r>
            <w:t>- 18 -</w:t>
          </w:r>
          <w:r>
            <w:fldChar w:fldCharType="end"/>
          </w:r>
          <w:r>
            <w:fldChar w:fldCharType="end"/>
          </w:r>
        </w:p>
        <w:p>
          <w:pPr>
            <w:pStyle w:val="9"/>
            <w:tabs>
              <w:tab w:val="right" w:leader="dot" w:pos="8302"/>
            </w:tabs>
            <w:rPr>
              <w:kern w:val="2"/>
              <w:sz w:val="21"/>
            </w:rPr>
          </w:pPr>
          <w:r>
            <w:fldChar w:fldCharType="begin"/>
          </w:r>
          <w:r>
            <w:instrText xml:space="preserve"> HYPERLINK \l "_Toc60300685" </w:instrText>
          </w:r>
          <w:r>
            <w:fldChar w:fldCharType="separate"/>
          </w:r>
          <w:r>
            <w:rPr>
              <w:rStyle w:val="13"/>
            </w:rPr>
            <w:t>4.1校企合作开展情况和效果</w:t>
          </w:r>
          <w:r>
            <w:tab/>
          </w:r>
          <w:r>
            <w:fldChar w:fldCharType="begin"/>
          </w:r>
          <w:r>
            <w:instrText xml:space="preserve"> PAGEREF _Toc60300685 \h </w:instrText>
          </w:r>
          <w:r>
            <w:fldChar w:fldCharType="separate"/>
          </w:r>
          <w:r>
            <w:t>- 18 -</w:t>
          </w:r>
          <w:r>
            <w:fldChar w:fldCharType="end"/>
          </w:r>
          <w:r>
            <w:fldChar w:fldCharType="end"/>
          </w:r>
        </w:p>
        <w:p>
          <w:pPr>
            <w:pStyle w:val="9"/>
            <w:tabs>
              <w:tab w:val="right" w:leader="dot" w:pos="8302"/>
            </w:tabs>
            <w:rPr>
              <w:kern w:val="2"/>
              <w:sz w:val="21"/>
            </w:rPr>
          </w:pPr>
          <w:r>
            <w:fldChar w:fldCharType="begin"/>
          </w:r>
          <w:r>
            <w:instrText xml:space="preserve"> HYPERLINK \l "_Toc60300686" </w:instrText>
          </w:r>
          <w:r>
            <w:fldChar w:fldCharType="separate"/>
          </w:r>
          <w:r>
            <w:rPr>
              <w:rStyle w:val="13"/>
            </w:rPr>
            <w:t>4.2 学生实习情况</w:t>
          </w:r>
          <w:r>
            <w:tab/>
          </w:r>
          <w:r>
            <w:fldChar w:fldCharType="begin"/>
          </w:r>
          <w:r>
            <w:instrText xml:space="preserve"> PAGEREF _Toc60300686 \h </w:instrText>
          </w:r>
          <w:r>
            <w:fldChar w:fldCharType="separate"/>
          </w:r>
          <w:r>
            <w:t>- 18 -</w:t>
          </w:r>
          <w:r>
            <w:fldChar w:fldCharType="end"/>
          </w:r>
          <w:r>
            <w:fldChar w:fldCharType="end"/>
          </w:r>
        </w:p>
        <w:p>
          <w:pPr>
            <w:pStyle w:val="9"/>
            <w:tabs>
              <w:tab w:val="right" w:leader="dot" w:pos="8302"/>
            </w:tabs>
            <w:rPr>
              <w:kern w:val="2"/>
              <w:sz w:val="21"/>
            </w:rPr>
          </w:pPr>
          <w:r>
            <w:fldChar w:fldCharType="begin"/>
          </w:r>
          <w:r>
            <w:instrText xml:space="preserve"> HYPERLINK \l "_Toc60300687" </w:instrText>
          </w:r>
          <w:r>
            <w:fldChar w:fldCharType="separate"/>
          </w:r>
          <w:r>
            <w:rPr>
              <w:rStyle w:val="13"/>
            </w:rPr>
            <w:t>4.3 集团化办学情况</w:t>
          </w:r>
          <w:r>
            <w:tab/>
          </w:r>
          <w:r>
            <w:fldChar w:fldCharType="begin"/>
          </w:r>
          <w:r>
            <w:instrText xml:space="preserve"> PAGEREF _Toc60300687 \h </w:instrText>
          </w:r>
          <w:r>
            <w:fldChar w:fldCharType="separate"/>
          </w:r>
          <w:r>
            <w:t>- 19 -</w:t>
          </w:r>
          <w:r>
            <w:fldChar w:fldCharType="end"/>
          </w:r>
          <w:r>
            <w:fldChar w:fldCharType="end"/>
          </w:r>
        </w:p>
        <w:p>
          <w:pPr>
            <w:pStyle w:val="8"/>
            <w:tabs>
              <w:tab w:val="right" w:leader="dot" w:pos="8302"/>
            </w:tabs>
            <w:rPr>
              <w:kern w:val="2"/>
              <w:sz w:val="21"/>
            </w:rPr>
          </w:pPr>
          <w:r>
            <w:fldChar w:fldCharType="begin"/>
          </w:r>
          <w:r>
            <w:instrText xml:space="preserve"> HYPERLINK \l "_Toc60300688" </w:instrText>
          </w:r>
          <w:r>
            <w:fldChar w:fldCharType="separate"/>
          </w:r>
          <w:r>
            <w:rPr>
              <w:rStyle w:val="13"/>
            </w:rPr>
            <w:t>5.社会贡献</w:t>
          </w:r>
          <w:r>
            <w:tab/>
          </w:r>
          <w:r>
            <w:fldChar w:fldCharType="begin"/>
          </w:r>
          <w:r>
            <w:instrText xml:space="preserve"> PAGEREF _Toc60300688 \h </w:instrText>
          </w:r>
          <w:r>
            <w:fldChar w:fldCharType="separate"/>
          </w:r>
          <w:r>
            <w:t>- 19 -</w:t>
          </w:r>
          <w:r>
            <w:fldChar w:fldCharType="end"/>
          </w:r>
          <w:r>
            <w:fldChar w:fldCharType="end"/>
          </w:r>
        </w:p>
        <w:p>
          <w:pPr>
            <w:pStyle w:val="9"/>
            <w:tabs>
              <w:tab w:val="right" w:leader="dot" w:pos="8302"/>
            </w:tabs>
            <w:rPr>
              <w:kern w:val="2"/>
              <w:sz w:val="21"/>
            </w:rPr>
          </w:pPr>
          <w:r>
            <w:fldChar w:fldCharType="begin"/>
          </w:r>
          <w:r>
            <w:instrText xml:space="preserve"> HYPERLINK \l "_Toc60300689" </w:instrText>
          </w:r>
          <w:r>
            <w:fldChar w:fldCharType="separate"/>
          </w:r>
          <w:r>
            <w:rPr>
              <w:rStyle w:val="13"/>
            </w:rPr>
            <w:t>5.1技术技能人才培养</w:t>
          </w:r>
          <w:r>
            <w:tab/>
          </w:r>
          <w:r>
            <w:fldChar w:fldCharType="begin"/>
          </w:r>
          <w:r>
            <w:instrText xml:space="preserve"> PAGEREF _Toc60300689 \h </w:instrText>
          </w:r>
          <w:r>
            <w:fldChar w:fldCharType="separate"/>
          </w:r>
          <w:r>
            <w:t>- 19 -</w:t>
          </w:r>
          <w:r>
            <w:fldChar w:fldCharType="end"/>
          </w:r>
          <w:r>
            <w:fldChar w:fldCharType="end"/>
          </w:r>
        </w:p>
        <w:p>
          <w:pPr>
            <w:pStyle w:val="9"/>
            <w:tabs>
              <w:tab w:val="right" w:leader="dot" w:pos="8302"/>
            </w:tabs>
            <w:rPr>
              <w:kern w:val="2"/>
              <w:sz w:val="21"/>
            </w:rPr>
          </w:pPr>
          <w:r>
            <w:fldChar w:fldCharType="begin"/>
          </w:r>
          <w:r>
            <w:instrText xml:space="preserve"> HYPERLINK \l "_Toc60300690" </w:instrText>
          </w:r>
          <w:r>
            <w:fldChar w:fldCharType="separate"/>
          </w:r>
          <w:r>
            <w:rPr>
              <w:rStyle w:val="13"/>
            </w:rPr>
            <w:t>5.2社会服务</w:t>
          </w:r>
          <w:r>
            <w:tab/>
          </w:r>
          <w:r>
            <w:fldChar w:fldCharType="begin"/>
          </w:r>
          <w:r>
            <w:instrText xml:space="preserve"> PAGEREF _Toc60300690 \h </w:instrText>
          </w:r>
          <w:r>
            <w:fldChar w:fldCharType="separate"/>
          </w:r>
          <w:r>
            <w:t>- 20 -</w:t>
          </w:r>
          <w:r>
            <w:fldChar w:fldCharType="end"/>
          </w:r>
          <w:r>
            <w:fldChar w:fldCharType="end"/>
          </w:r>
        </w:p>
        <w:p>
          <w:pPr>
            <w:pStyle w:val="9"/>
            <w:tabs>
              <w:tab w:val="right" w:leader="dot" w:pos="8302"/>
            </w:tabs>
            <w:rPr>
              <w:kern w:val="2"/>
              <w:sz w:val="21"/>
            </w:rPr>
          </w:pPr>
          <w:r>
            <w:fldChar w:fldCharType="begin"/>
          </w:r>
          <w:r>
            <w:instrText xml:space="preserve"> HYPERLINK \l "_Toc60300691" </w:instrText>
          </w:r>
          <w:r>
            <w:fldChar w:fldCharType="separate"/>
          </w:r>
          <w:r>
            <w:rPr>
              <w:rStyle w:val="13"/>
            </w:rPr>
            <w:t>5.3对口支援</w:t>
          </w:r>
          <w:r>
            <w:tab/>
          </w:r>
          <w:r>
            <w:fldChar w:fldCharType="begin"/>
          </w:r>
          <w:r>
            <w:instrText xml:space="preserve"> PAGEREF _Toc60300691 \h </w:instrText>
          </w:r>
          <w:r>
            <w:fldChar w:fldCharType="separate"/>
          </w:r>
          <w:r>
            <w:t>- 21 -</w:t>
          </w:r>
          <w:r>
            <w:fldChar w:fldCharType="end"/>
          </w:r>
          <w:r>
            <w:fldChar w:fldCharType="end"/>
          </w:r>
        </w:p>
        <w:p>
          <w:pPr>
            <w:pStyle w:val="8"/>
            <w:tabs>
              <w:tab w:val="right" w:leader="dot" w:pos="8302"/>
            </w:tabs>
            <w:rPr>
              <w:kern w:val="2"/>
              <w:sz w:val="21"/>
            </w:rPr>
          </w:pPr>
          <w:r>
            <w:fldChar w:fldCharType="begin"/>
          </w:r>
          <w:r>
            <w:instrText xml:space="preserve"> HYPERLINK \l "_Toc60300692" </w:instrText>
          </w:r>
          <w:r>
            <w:fldChar w:fldCharType="separate"/>
          </w:r>
          <w:r>
            <w:rPr>
              <w:rStyle w:val="13"/>
            </w:rPr>
            <w:t>6.举办者履责</w:t>
          </w:r>
          <w:r>
            <w:tab/>
          </w:r>
          <w:r>
            <w:fldChar w:fldCharType="begin"/>
          </w:r>
          <w:r>
            <w:instrText xml:space="preserve"> PAGEREF _Toc60300692 \h </w:instrText>
          </w:r>
          <w:r>
            <w:fldChar w:fldCharType="separate"/>
          </w:r>
          <w:r>
            <w:t>- 21 -</w:t>
          </w:r>
          <w:r>
            <w:fldChar w:fldCharType="end"/>
          </w:r>
          <w:r>
            <w:fldChar w:fldCharType="end"/>
          </w:r>
        </w:p>
        <w:p>
          <w:pPr>
            <w:pStyle w:val="9"/>
            <w:tabs>
              <w:tab w:val="right" w:leader="dot" w:pos="8302"/>
            </w:tabs>
            <w:rPr>
              <w:kern w:val="2"/>
              <w:sz w:val="21"/>
            </w:rPr>
          </w:pPr>
          <w:r>
            <w:fldChar w:fldCharType="begin"/>
          </w:r>
          <w:r>
            <w:instrText xml:space="preserve"> HYPERLINK \l "_Toc60300693" </w:instrText>
          </w:r>
          <w:r>
            <w:fldChar w:fldCharType="separate"/>
          </w:r>
          <w:r>
            <w:rPr>
              <w:rStyle w:val="13"/>
            </w:rPr>
            <w:t>6.1经费</w:t>
          </w:r>
          <w:r>
            <w:tab/>
          </w:r>
          <w:r>
            <w:fldChar w:fldCharType="begin"/>
          </w:r>
          <w:r>
            <w:instrText xml:space="preserve"> PAGEREF _Toc60300693 \h </w:instrText>
          </w:r>
          <w:r>
            <w:fldChar w:fldCharType="separate"/>
          </w:r>
          <w:r>
            <w:t>- 21 -</w:t>
          </w:r>
          <w:r>
            <w:fldChar w:fldCharType="end"/>
          </w:r>
          <w:r>
            <w:fldChar w:fldCharType="end"/>
          </w:r>
        </w:p>
        <w:p>
          <w:pPr>
            <w:pStyle w:val="9"/>
            <w:tabs>
              <w:tab w:val="right" w:leader="dot" w:pos="8302"/>
            </w:tabs>
            <w:rPr>
              <w:kern w:val="2"/>
              <w:sz w:val="21"/>
            </w:rPr>
          </w:pPr>
          <w:r>
            <w:fldChar w:fldCharType="begin"/>
          </w:r>
          <w:r>
            <w:instrText xml:space="preserve"> HYPERLINK \l "_Toc60300694" </w:instrText>
          </w:r>
          <w:r>
            <w:fldChar w:fldCharType="separate"/>
          </w:r>
          <w:r>
            <w:rPr>
              <w:rStyle w:val="13"/>
            </w:rPr>
            <w:t>6.2政策措施</w:t>
          </w:r>
          <w:r>
            <w:tab/>
          </w:r>
          <w:r>
            <w:fldChar w:fldCharType="begin"/>
          </w:r>
          <w:r>
            <w:instrText xml:space="preserve"> PAGEREF _Toc60300694 \h </w:instrText>
          </w:r>
          <w:r>
            <w:fldChar w:fldCharType="separate"/>
          </w:r>
          <w:r>
            <w:t>- 22 -</w:t>
          </w:r>
          <w:r>
            <w:fldChar w:fldCharType="end"/>
          </w:r>
          <w:r>
            <w:fldChar w:fldCharType="end"/>
          </w:r>
        </w:p>
        <w:p>
          <w:pPr>
            <w:pStyle w:val="8"/>
            <w:tabs>
              <w:tab w:val="right" w:leader="dot" w:pos="8302"/>
            </w:tabs>
            <w:rPr>
              <w:kern w:val="2"/>
              <w:sz w:val="21"/>
            </w:rPr>
          </w:pPr>
          <w:r>
            <w:fldChar w:fldCharType="begin"/>
          </w:r>
          <w:r>
            <w:instrText xml:space="preserve"> HYPERLINK \l "_Toc60300695" </w:instrText>
          </w:r>
          <w:r>
            <w:fldChar w:fldCharType="separate"/>
          </w:r>
          <w:r>
            <w:rPr>
              <w:rStyle w:val="13"/>
            </w:rPr>
            <w:t>7.特色创新</w:t>
          </w:r>
          <w:r>
            <w:tab/>
          </w:r>
          <w:r>
            <w:fldChar w:fldCharType="begin"/>
          </w:r>
          <w:r>
            <w:instrText xml:space="preserve"> PAGEREF _Toc60300695 \h </w:instrText>
          </w:r>
          <w:r>
            <w:fldChar w:fldCharType="separate"/>
          </w:r>
          <w:r>
            <w:t>- 22 -</w:t>
          </w:r>
          <w:r>
            <w:fldChar w:fldCharType="end"/>
          </w:r>
          <w:r>
            <w:fldChar w:fldCharType="end"/>
          </w:r>
        </w:p>
        <w:p>
          <w:pPr>
            <w:pStyle w:val="8"/>
            <w:tabs>
              <w:tab w:val="right" w:leader="dot" w:pos="8302"/>
            </w:tabs>
            <w:rPr>
              <w:kern w:val="2"/>
              <w:sz w:val="21"/>
            </w:rPr>
          </w:pPr>
          <w:r>
            <w:fldChar w:fldCharType="begin"/>
          </w:r>
          <w:r>
            <w:instrText xml:space="preserve"> HYPERLINK \l "_Toc60300696" </w:instrText>
          </w:r>
          <w:r>
            <w:fldChar w:fldCharType="separate"/>
          </w:r>
          <w:r>
            <w:rPr>
              <w:rStyle w:val="13"/>
            </w:rPr>
            <w:t>8.主要问题和改进措施</w:t>
          </w:r>
          <w:r>
            <w:tab/>
          </w:r>
          <w:r>
            <w:fldChar w:fldCharType="begin"/>
          </w:r>
          <w:r>
            <w:instrText xml:space="preserve"> PAGEREF _Toc60300696 \h </w:instrText>
          </w:r>
          <w:r>
            <w:fldChar w:fldCharType="separate"/>
          </w:r>
          <w:r>
            <w:t>- 23 -</w:t>
          </w:r>
          <w:r>
            <w:fldChar w:fldCharType="end"/>
          </w:r>
          <w:r>
            <w:fldChar w:fldCharType="end"/>
          </w:r>
        </w:p>
        <w:p>
          <w:pPr>
            <w:pStyle w:val="8"/>
            <w:tabs>
              <w:tab w:val="right" w:leader="dot" w:pos="8302"/>
            </w:tabs>
            <w:rPr>
              <w:kern w:val="2"/>
              <w:sz w:val="21"/>
            </w:rPr>
          </w:pPr>
          <w:r>
            <w:fldChar w:fldCharType="begin"/>
          </w:r>
          <w:r>
            <w:instrText xml:space="preserve"> HYPERLINK \l "_Toc60300697" </w:instrText>
          </w:r>
          <w:r>
            <w:fldChar w:fldCharType="separate"/>
          </w:r>
          <w:r>
            <w:rPr>
              <w:rStyle w:val="13"/>
            </w:rPr>
            <w:t>9.其他</w:t>
          </w:r>
          <w:r>
            <w:tab/>
          </w:r>
          <w:r>
            <w:fldChar w:fldCharType="begin"/>
          </w:r>
          <w:r>
            <w:instrText xml:space="preserve"> PAGEREF _Toc60300697 \h </w:instrText>
          </w:r>
          <w:r>
            <w:fldChar w:fldCharType="separate"/>
          </w:r>
          <w:r>
            <w:t>- 24 -</w:t>
          </w:r>
          <w:r>
            <w:fldChar w:fldCharType="end"/>
          </w:r>
          <w:r>
            <w:fldChar w:fldCharType="end"/>
          </w:r>
        </w:p>
        <w:p>
          <w:pPr>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jc w:val="center"/>
        <w:rPr>
          <w:rFonts w:ascii="华文中宋" w:hAnsi="华文中宋" w:eastAsia="华文中宋"/>
          <w:b/>
          <w:color w:val="000000" w:themeColor="text1"/>
          <w:sz w:val="120"/>
          <w:szCs w:val="120"/>
          <w14:textFill>
            <w14:solidFill>
              <w14:schemeClr w14:val="tx1"/>
            </w14:solidFill>
          </w14:textFill>
        </w:rPr>
      </w:pPr>
    </w:p>
    <w:p>
      <w:pPr>
        <w:jc w:val="center"/>
        <w:rPr>
          <w:rFonts w:ascii="华文中宋" w:hAnsi="华文中宋" w:eastAsia="华文中宋"/>
          <w:b/>
          <w:color w:val="000000" w:themeColor="text1"/>
          <w:sz w:val="120"/>
          <w:szCs w:val="120"/>
          <w14:textFill>
            <w14:solidFill>
              <w14:schemeClr w14:val="tx1"/>
            </w14:solidFill>
          </w14:textFill>
        </w:rPr>
      </w:pPr>
    </w:p>
    <w:p>
      <w:pPr>
        <w:jc w:val="center"/>
        <w:rPr>
          <w:rFonts w:ascii="华文中宋" w:hAnsi="华文中宋" w:eastAsia="华文中宋"/>
          <w:b/>
          <w:color w:val="000000" w:themeColor="text1"/>
          <w:sz w:val="120"/>
          <w:szCs w:val="120"/>
          <w14:textFill>
            <w14:solidFill>
              <w14:schemeClr w14:val="tx1"/>
            </w14:solidFill>
          </w14:textFill>
        </w:rPr>
      </w:pPr>
    </w:p>
    <w:p>
      <w:pPr>
        <w:jc w:val="center"/>
        <w:rPr>
          <w:rFonts w:ascii="华文中宋" w:hAnsi="华文中宋" w:eastAsia="华文中宋"/>
          <w:b/>
          <w:color w:val="000000" w:themeColor="text1"/>
          <w:sz w:val="120"/>
          <w:szCs w:val="120"/>
          <w14:textFill>
            <w14:solidFill>
              <w14:schemeClr w14:val="tx1"/>
            </w14:solidFill>
          </w14:textFill>
        </w:rPr>
      </w:pPr>
    </w:p>
    <w:p>
      <w:pPr>
        <w:jc w:val="center"/>
        <w:rPr>
          <w:rFonts w:ascii="华文中宋" w:hAnsi="华文中宋" w:eastAsia="华文中宋"/>
          <w:b/>
          <w:color w:val="000000" w:themeColor="text1"/>
          <w:sz w:val="120"/>
          <w:szCs w:val="120"/>
          <w14:textFill>
            <w14:solidFill>
              <w14:schemeClr w14:val="tx1"/>
            </w14:solidFill>
          </w14:textFill>
        </w:rPr>
      </w:pPr>
    </w:p>
    <w:p>
      <w:pPr>
        <w:jc w:val="center"/>
        <w:rPr>
          <w:rFonts w:ascii="华文中宋" w:hAnsi="华文中宋" w:eastAsia="华文中宋"/>
          <w:b/>
          <w:color w:val="000000" w:themeColor="text1"/>
          <w:sz w:val="120"/>
          <w:szCs w:val="120"/>
          <w14:textFill>
            <w14:solidFill>
              <w14:schemeClr w14:val="tx1"/>
            </w14:solidFill>
          </w14:textFill>
        </w:rPr>
      </w:pPr>
    </w:p>
    <w:p>
      <w:pPr>
        <w:jc w:val="center"/>
        <w:rPr>
          <w:rFonts w:ascii="华文中宋" w:hAnsi="华文中宋" w:eastAsia="华文中宋"/>
          <w:b/>
          <w:color w:val="000000" w:themeColor="text1"/>
          <w:sz w:val="120"/>
          <w:szCs w:val="120"/>
          <w14:textFill>
            <w14:solidFill>
              <w14:schemeClr w14:val="tx1"/>
            </w14:solidFill>
          </w14:textFill>
        </w:rPr>
        <w:sectPr>
          <w:pgSz w:w="11906" w:h="16838"/>
          <w:pgMar w:top="1440" w:right="1797" w:bottom="1440" w:left="1797" w:header="851" w:footer="992" w:gutter="0"/>
          <w:pgNumType w:start="0"/>
          <w:cols w:space="425" w:num="1"/>
          <w:titlePg/>
          <w:docGrid w:type="lines" w:linePitch="312" w:charSpace="0"/>
        </w:sectPr>
      </w:pPr>
    </w:p>
    <w:p>
      <w:pPr>
        <w:jc w:val="center"/>
        <w:rPr>
          <w:rFonts w:ascii="华文中宋" w:hAnsi="华文中宋" w:eastAsia="华文中宋"/>
          <w:b/>
          <w:color w:val="000000" w:themeColor="text1"/>
          <w:sz w:val="120"/>
          <w:szCs w:val="120"/>
          <w14:textFill>
            <w14:solidFill>
              <w14:schemeClr w14:val="tx1"/>
            </w14:solidFill>
          </w14:textFill>
        </w:rPr>
      </w:pPr>
      <w:r>
        <w:rPr>
          <w:rFonts w:hint="eastAsia" w:ascii="华文中宋" w:hAnsi="华文中宋" w:eastAsia="华文中宋"/>
          <w:b/>
          <w:color w:val="000000" w:themeColor="text1"/>
          <w:sz w:val="120"/>
          <w:szCs w:val="120"/>
          <w14:textFill>
            <w14:solidFill>
              <w14:schemeClr w14:val="tx1"/>
            </w14:solidFill>
          </w14:textFill>
        </w:rPr>
        <w:t>年度质量报告</w:t>
      </w:r>
    </w:p>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（201</w:t>
      </w:r>
      <w:r>
        <w:rPr>
          <w:rFonts w:asciiTheme="minorEastAsia" w:hAnsiTheme="minorEastAsia"/>
          <w:b/>
          <w:color w:val="000000" w:themeColor="text1"/>
          <w:sz w:val="28"/>
          <w:szCs w:val="28"/>
          <w14:textFill>
            <w14:solidFill>
              <w14:schemeClr w14:val="tx1"/>
            </w14:solidFill>
          </w14:textFill>
        </w:rPr>
        <w:t>9</w:t>
      </w:r>
      <w:r>
        <w:rPr>
          <w:rFonts w:hint="eastAsia" w:asciiTheme="minorEastAsia" w:hAnsiTheme="minorEastAsia"/>
          <w:b/>
          <w:color w:val="000000" w:themeColor="text1"/>
          <w:sz w:val="28"/>
          <w:szCs w:val="28"/>
          <w14:textFill>
            <w14:solidFill>
              <w14:schemeClr w14:val="tx1"/>
            </w14:solidFill>
          </w14:textFill>
        </w:rPr>
        <w:t>-20</w:t>
      </w:r>
      <w:r>
        <w:rPr>
          <w:rFonts w:asciiTheme="minorEastAsia" w:hAnsiTheme="minorEastAsia"/>
          <w:b/>
          <w:color w:val="000000" w:themeColor="text1"/>
          <w:sz w:val="28"/>
          <w:szCs w:val="28"/>
          <w14:textFill>
            <w14:solidFill>
              <w14:schemeClr w14:val="tx1"/>
            </w14:solidFill>
          </w14:textFill>
        </w:rPr>
        <w:t>20</w:t>
      </w:r>
      <w:r>
        <w:rPr>
          <w:rFonts w:hint="eastAsia" w:asciiTheme="minorEastAsia" w:hAnsiTheme="minorEastAsia"/>
          <w:b/>
          <w:color w:val="000000" w:themeColor="text1"/>
          <w:sz w:val="28"/>
          <w:szCs w:val="28"/>
          <w14:textFill>
            <w14:solidFill>
              <w14:schemeClr w14:val="tx1"/>
            </w14:solidFill>
          </w14:textFill>
        </w:rPr>
        <w:t>年度）</w:t>
      </w:r>
    </w:p>
    <w:p>
      <w:pPr>
        <w:pStyle w:val="2"/>
        <w:rPr>
          <w:color w:val="000000" w:themeColor="text1"/>
          <w14:textFill>
            <w14:solidFill>
              <w14:schemeClr w14:val="tx1"/>
            </w14:solidFill>
          </w14:textFill>
        </w:rPr>
      </w:pPr>
      <w:bookmarkStart w:id="0" w:name="_Toc60300666"/>
      <w:r>
        <w:rPr>
          <w:rFonts w:hint="eastAsia"/>
          <w:color w:val="000000" w:themeColor="text1"/>
          <w14:textFill>
            <w14:solidFill>
              <w14:schemeClr w14:val="tx1"/>
            </w14:solidFill>
          </w14:textFill>
        </w:rPr>
        <w:t>1.学校情况</w:t>
      </w:r>
      <w:bookmarkEnd w:id="0"/>
    </w:p>
    <w:p>
      <w:pPr>
        <w:pStyle w:val="3"/>
        <w:rPr>
          <w:color w:val="000000" w:themeColor="text1"/>
          <w14:textFill>
            <w14:solidFill>
              <w14:schemeClr w14:val="tx1"/>
            </w14:solidFill>
          </w14:textFill>
        </w:rPr>
      </w:pPr>
      <w:bookmarkStart w:id="1" w:name="_Toc60300667"/>
      <w:r>
        <w:rPr>
          <w:rFonts w:hint="eastAsia"/>
          <w:color w:val="000000" w:themeColor="text1"/>
          <w14:textFill>
            <w14:solidFill>
              <w14:schemeClr w14:val="tx1"/>
            </w14:solidFill>
          </w14:textFill>
        </w:rPr>
        <w:t>1.1学校概况</w:t>
      </w:r>
      <w:bookmarkEnd w:id="1"/>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四川省会理现代职业技术学校地处会理城南街南街社区就业路9号。2009年由会理县人民政府划拔土地，提供200个教师编制，由北京北方投资集团和四川现代教育集团联合投资开办的一所民办公助体制的现代化中等职业技术学校。</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学校占地200亩，总建筑面积达</w:t>
      </w:r>
      <w:r>
        <w:rPr>
          <w:rFonts w:asciiTheme="minorEastAsia" w:hAnsiTheme="minorEastAsia"/>
          <w:color w:val="000000" w:themeColor="text1"/>
          <w:sz w:val="28"/>
          <w:szCs w:val="28"/>
          <w14:textFill>
            <w14:solidFill>
              <w14:schemeClr w14:val="tx1"/>
            </w14:solidFill>
          </w14:textFill>
        </w:rPr>
        <w:t>52178</w:t>
      </w:r>
      <w:r>
        <w:rPr>
          <w:rFonts w:hint="eastAsia" w:asciiTheme="minorEastAsia" w:hAnsiTheme="minorEastAsia"/>
          <w:color w:val="000000" w:themeColor="text1"/>
          <w:sz w:val="28"/>
          <w:szCs w:val="28"/>
          <w14:textFill>
            <w14:solidFill>
              <w14:schemeClr w14:val="tx1"/>
            </w14:solidFill>
          </w14:textFill>
        </w:rPr>
        <w:t>平方米，建有办公楼、教学楼、实训楼、实训车间、学生公寓、标准化食堂等，房屋建筑规划得当，布局合理，各类功能用房齐全。学校总投资8731万元，其中教学设备资产</w:t>
      </w:r>
      <w:r>
        <w:rPr>
          <w:rFonts w:asciiTheme="minorEastAsia" w:hAnsiTheme="minorEastAsia"/>
          <w:color w:val="000000" w:themeColor="text1"/>
          <w:sz w:val="28"/>
          <w:szCs w:val="28"/>
          <w14:textFill>
            <w14:solidFill>
              <w14:schemeClr w14:val="tx1"/>
            </w14:solidFill>
          </w14:textFill>
        </w:rPr>
        <w:t>6438</w:t>
      </w:r>
      <w:r>
        <w:rPr>
          <w:rFonts w:hint="eastAsia" w:asciiTheme="minorEastAsia" w:hAnsiTheme="minorEastAsia"/>
          <w:color w:val="000000" w:themeColor="text1"/>
          <w:sz w:val="28"/>
          <w:szCs w:val="28"/>
          <w14:textFill>
            <w14:solidFill>
              <w14:schemeClr w14:val="tx1"/>
            </w14:solidFill>
          </w14:textFill>
        </w:rPr>
        <w:t>万元，教学实训资产</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777万元。 其中各种功能用房及面积情况见表1-1。</w:t>
      </w:r>
    </w:p>
    <w:p>
      <w:pPr>
        <w:widowControl/>
        <w:shd w:val="clear" w:color="auto" w:fill="FFFFFF"/>
        <w:spacing w:line="360" w:lineRule="auto"/>
        <w:jc w:val="center"/>
        <w:rPr>
          <w:rFonts w:cs="黑体" w:asciiTheme="minorEastAsia" w:hAnsiTheme="minorEastAsia"/>
          <w:b/>
          <w:color w:val="000000" w:themeColor="text1"/>
          <w:sz w:val="24"/>
          <w14:textFill>
            <w14:solidFill>
              <w14:schemeClr w14:val="tx1"/>
            </w14:solidFill>
          </w14:textFill>
        </w:rPr>
      </w:pPr>
      <w:r>
        <w:rPr>
          <w:rFonts w:hint="eastAsia" w:cs="黑体" w:asciiTheme="minorEastAsia" w:hAnsiTheme="minorEastAsia"/>
          <w:b/>
          <w:color w:val="000000" w:themeColor="text1"/>
          <w:sz w:val="24"/>
          <w14:textFill>
            <w14:solidFill>
              <w14:schemeClr w14:val="tx1"/>
            </w14:solidFill>
          </w14:textFill>
        </w:rPr>
        <w:t>表1-1  学校办学资源总量及生均值</w:t>
      </w:r>
    </w:p>
    <w:tbl>
      <w:tblPr>
        <w:tblStyle w:val="10"/>
        <w:tblW w:w="6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667"/>
        <w:gridCol w:w="969"/>
        <w:gridCol w:w="1302"/>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008"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Cs w:val="21"/>
                <w14:textFill>
                  <w14:solidFill>
                    <w14:schemeClr w14:val="tx1"/>
                  </w14:solidFill>
                </w14:textFill>
              </w:rPr>
            </w:pPr>
            <w:r>
              <w:rPr>
                <w:rFonts w:cs="Times New Roman" w:asciiTheme="minorEastAsia" w:hAnsiTheme="minorEastAsia"/>
                <w:b/>
                <w:color w:val="000000" w:themeColor="text1"/>
                <w:kern w:val="0"/>
                <w:szCs w:val="21"/>
                <w14:textFill>
                  <w14:solidFill>
                    <w14:schemeClr w14:val="tx1"/>
                  </w14:solidFill>
                </w14:textFill>
              </w:rPr>
              <w:t>序号</w:t>
            </w:r>
          </w:p>
        </w:tc>
        <w:tc>
          <w:tcPr>
            <w:tcW w:w="2667" w:type="dxa"/>
            <w:shd w:val="clear" w:color="auto" w:fill="B8CCE4" w:themeFill="accent1" w:themeFillTint="66"/>
            <w:vAlign w:val="center"/>
          </w:tcPr>
          <w:p>
            <w:pPr>
              <w:widowControl/>
              <w:ind w:firstLine="422"/>
              <w:jc w:val="center"/>
              <w:rPr>
                <w:rFonts w:cs="Times New Roman" w:asciiTheme="minorEastAsia" w:hAnsiTheme="minorEastAsia"/>
                <w:b/>
                <w:color w:val="000000" w:themeColor="text1"/>
                <w:kern w:val="0"/>
                <w:szCs w:val="21"/>
                <w14:textFill>
                  <w14:solidFill>
                    <w14:schemeClr w14:val="tx1"/>
                  </w14:solidFill>
                </w14:textFill>
              </w:rPr>
            </w:pPr>
            <w:r>
              <w:rPr>
                <w:rFonts w:cs="Times New Roman" w:asciiTheme="minorEastAsia" w:hAnsiTheme="minorEastAsia"/>
                <w:b/>
                <w:color w:val="000000" w:themeColor="text1"/>
                <w:kern w:val="0"/>
                <w:szCs w:val="21"/>
                <w14:textFill>
                  <w14:solidFill>
                    <w14:schemeClr w14:val="tx1"/>
                  </w14:solidFill>
                </w14:textFill>
              </w:rPr>
              <w:t>项目</w:t>
            </w:r>
          </w:p>
        </w:tc>
        <w:tc>
          <w:tcPr>
            <w:tcW w:w="969"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Cs w:val="21"/>
                <w14:textFill>
                  <w14:solidFill>
                    <w14:schemeClr w14:val="tx1"/>
                  </w14:solidFill>
                </w14:textFill>
              </w:rPr>
            </w:pPr>
            <w:r>
              <w:rPr>
                <w:rFonts w:cs="Times New Roman" w:asciiTheme="minorEastAsia" w:hAnsiTheme="minorEastAsia"/>
                <w:b/>
                <w:color w:val="000000" w:themeColor="text1"/>
                <w:kern w:val="0"/>
                <w:szCs w:val="21"/>
                <w14:textFill>
                  <w14:solidFill>
                    <w14:schemeClr w14:val="tx1"/>
                  </w14:solidFill>
                </w14:textFill>
              </w:rPr>
              <w:t>单位</w:t>
            </w:r>
          </w:p>
        </w:tc>
        <w:tc>
          <w:tcPr>
            <w:tcW w:w="1302"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Cs w:val="21"/>
                <w14:textFill>
                  <w14:solidFill>
                    <w14:schemeClr w14:val="tx1"/>
                  </w14:solidFill>
                </w14:textFill>
              </w:rPr>
            </w:pPr>
            <w:r>
              <w:rPr>
                <w:rFonts w:cs="Times New Roman" w:asciiTheme="minorEastAsia" w:hAnsiTheme="minorEastAsia"/>
                <w:b/>
                <w:color w:val="000000" w:themeColor="text1"/>
                <w:kern w:val="0"/>
                <w:szCs w:val="21"/>
                <w14:textFill>
                  <w14:solidFill>
                    <w14:schemeClr w14:val="tx1"/>
                  </w14:solidFill>
                </w14:textFill>
              </w:rPr>
              <w:t>数量</w:t>
            </w:r>
          </w:p>
        </w:tc>
        <w:tc>
          <w:tcPr>
            <w:tcW w:w="974" w:type="dxa"/>
            <w:shd w:val="clear" w:color="auto" w:fill="B8CCE4" w:themeFill="accent1" w:themeFillTint="66"/>
            <w:vAlign w:val="center"/>
          </w:tcPr>
          <w:p>
            <w:pPr>
              <w:widowControl/>
              <w:jc w:val="left"/>
              <w:rPr>
                <w:rFonts w:cs="Times New Roman" w:asciiTheme="minorEastAsia" w:hAnsiTheme="minorEastAsia"/>
                <w:b/>
                <w:color w:val="000000" w:themeColor="text1"/>
                <w:kern w:val="0"/>
                <w:szCs w:val="21"/>
                <w14:textFill>
                  <w14:solidFill>
                    <w14:schemeClr w14:val="tx1"/>
                  </w14:solidFill>
                </w14:textFill>
              </w:rPr>
            </w:pPr>
            <w:r>
              <w:rPr>
                <w:rFonts w:cs="Times New Roman" w:asciiTheme="minorEastAsia" w:hAnsiTheme="minorEastAsia"/>
                <w:b/>
                <w:color w:val="000000" w:themeColor="text1"/>
                <w:kern w:val="0"/>
                <w:szCs w:val="21"/>
                <w14:textFill>
                  <w14:solidFill>
                    <w14:schemeClr w14:val="tx1"/>
                  </w14:solidFill>
                </w14:textFill>
              </w:rPr>
              <w:t>生均值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08"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1</w:t>
            </w:r>
          </w:p>
        </w:tc>
        <w:tc>
          <w:tcPr>
            <w:tcW w:w="2667"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占地面积</w:t>
            </w:r>
          </w:p>
        </w:tc>
        <w:tc>
          <w:tcPr>
            <w:tcW w:w="969"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m</w:t>
            </w:r>
            <w:r>
              <w:rPr>
                <w:rFonts w:cs="Times New Roman" w:asciiTheme="minorEastAsia" w:hAnsiTheme="minorEastAsia"/>
                <w:color w:val="000000" w:themeColor="text1"/>
                <w:kern w:val="0"/>
                <w:szCs w:val="21"/>
                <w:vertAlign w:val="superscript"/>
                <w14:textFill>
                  <w14:solidFill>
                    <w14:schemeClr w14:val="tx1"/>
                  </w14:solidFill>
                </w14:textFill>
              </w:rPr>
              <w:t>2</w:t>
            </w:r>
          </w:p>
        </w:tc>
        <w:tc>
          <w:tcPr>
            <w:tcW w:w="1302"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133332</w:t>
            </w:r>
          </w:p>
        </w:tc>
        <w:tc>
          <w:tcPr>
            <w:tcW w:w="974" w:type="dxa"/>
            <w:vAlign w:val="center"/>
          </w:tcPr>
          <w:p>
            <w:pPr>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3</w:t>
            </w:r>
            <w:r>
              <w:rPr>
                <w:rFonts w:cs="Times New Roman" w:asciiTheme="minorEastAsia" w:hAnsiTheme="minorEastAsia"/>
                <w:color w:val="000000" w:themeColor="text1"/>
                <w:kern w:val="0"/>
                <w:szCs w:val="21"/>
                <w14:textFill>
                  <w14:solidFill>
                    <w14:schemeClr w14:val="tx1"/>
                  </w14:solidFill>
                </w14:textFill>
              </w:rPr>
              <w:t>4</w:t>
            </w:r>
            <w:r>
              <w:rPr>
                <w:rFonts w:hint="eastAsia" w:cs="Times New Roman" w:asciiTheme="minorEastAsia" w:hAnsiTheme="minorEastAsia"/>
                <w:color w:val="000000" w:themeColor="text1"/>
                <w:kern w:val="0"/>
                <w:szCs w:val="21"/>
                <w14:textFill>
                  <w14:solidFill>
                    <w14:schemeClr w14:val="tx1"/>
                  </w14:solidFill>
                </w14:textFill>
              </w:rPr>
              <w:t>.</w:t>
            </w:r>
            <w:r>
              <w:rPr>
                <w:rFonts w:cs="Times New Roman" w:asciiTheme="minorEastAsia" w:hAnsiTheme="minorEastAsia"/>
                <w:color w:val="000000" w:themeColor="text1"/>
                <w:kern w:val="0"/>
                <w:szCs w:val="21"/>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08"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2</w:t>
            </w:r>
          </w:p>
        </w:tc>
        <w:tc>
          <w:tcPr>
            <w:tcW w:w="2667"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建筑面积</w:t>
            </w:r>
          </w:p>
        </w:tc>
        <w:tc>
          <w:tcPr>
            <w:tcW w:w="969"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m</w:t>
            </w:r>
            <w:r>
              <w:rPr>
                <w:rFonts w:cs="Times New Roman" w:asciiTheme="minorEastAsia" w:hAnsiTheme="minorEastAsia"/>
                <w:color w:val="000000" w:themeColor="text1"/>
                <w:kern w:val="0"/>
                <w:szCs w:val="21"/>
                <w:vertAlign w:val="superscript"/>
                <w14:textFill>
                  <w14:solidFill>
                    <w14:schemeClr w14:val="tx1"/>
                  </w14:solidFill>
                </w14:textFill>
              </w:rPr>
              <w:t>2</w:t>
            </w:r>
          </w:p>
        </w:tc>
        <w:tc>
          <w:tcPr>
            <w:tcW w:w="1302"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52178</w:t>
            </w:r>
          </w:p>
        </w:tc>
        <w:tc>
          <w:tcPr>
            <w:tcW w:w="974" w:type="dxa"/>
            <w:vAlign w:val="center"/>
          </w:tcPr>
          <w:p>
            <w:pPr>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13.</w:t>
            </w:r>
            <w:r>
              <w:rPr>
                <w:rFonts w:cs="Times New Roman" w:asciiTheme="minorEastAsia" w:hAnsiTheme="minorEastAsia"/>
                <w:color w:val="000000" w:themeColor="text1"/>
                <w:kern w:val="0"/>
                <w:szCs w:val="21"/>
                <w14:textFill>
                  <w14:solidFill>
                    <w14:schemeClr w14:val="tx1"/>
                  </w14:solidFill>
                </w14:textFill>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08"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3</w:t>
            </w:r>
          </w:p>
        </w:tc>
        <w:tc>
          <w:tcPr>
            <w:tcW w:w="2667"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教学及辅助用房面积</w:t>
            </w:r>
          </w:p>
        </w:tc>
        <w:tc>
          <w:tcPr>
            <w:tcW w:w="969"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m</w:t>
            </w:r>
            <w:r>
              <w:rPr>
                <w:rFonts w:cs="Times New Roman" w:asciiTheme="minorEastAsia" w:hAnsiTheme="minorEastAsia"/>
                <w:color w:val="000000" w:themeColor="text1"/>
                <w:szCs w:val="21"/>
                <w:vertAlign w:val="superscript"/>
                <w14:textFill>
                  <w14:solidFill>
                    <w14:schemeClr w14:val="tx1"/>
                  </w14:solidFill>
                </w14:textFill>
              </w:rPr>
              <w:t>2</w:t>
            </w:r>
          </w:p>
        </w:tc>
        <w:tc>
          <w:tcPr>
            <w:tcW w:w="1302"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30588</w:t>
            </w:r>
          </w:p>
        </w:tc>
        <w:tc>
          <w:tcPr>
            <w:tcW w:w="974" w:type="dxa"/>
            <w:vAlign w:val="center"/>
          </w:tcPr>
          <w:p>
            <w:pPr>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7</w:t>
            </w:r>
            <w:r>
              <w:rPr>
                <w:rFonts w:hint="eastAsia" w:cs="Times New Roman" w:asciiTheme="minorEastAsia" w:hAnsiTheme="minorEastAsia"/>
                <w:color w:val="000000" w:themeColor="text1"/>
                <w:kern w:val="0"/>
                <w:szCs w:val="21"/>
                <w14:textFill>
                  <w14:solidFill>
                    <w14:schemeClr w14:val="tx1"/>
                  </w14:solidFill>
                </w14:textFill>
              </w:rPr>
              <w:t>.</w:t>
            </w:r>
            <w:r>
              <w:rPr>
                <w:rFonts w:cs="Times New Roman" w:asciiTheme="minorEastAsia" w:hAnsiTheme="minorEastAsia"/>
                <w:color w:val="000000" w:themeColor="text1"/>
                <w:kern w:val="0"/>
                <w:szCs w:val="21"/>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08"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4</w:t>
            </w:r>
          </w:p>
        </w:tc>
        <w:tc>
          <w:tcPr>
            <w:tcW w:w="2667"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学生宿舍面积</w:t>
            </w:r>
          </w:p>
        </w:tc>
        <w:tc>
          <w:tcPr>
            <w:tcW w:w="969"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t>m</w:t>
            </w:r>
            <w:r>
              <w:rPr>
                <w:rFonts w:cs="Times New Roman" w:asciiTheme="minorEastAsia" w:hAnsiTheme="minorEastAsia"/>
                <w:color w:val="000000" w:themeColor="text1"/>
                <w:szCs w:val="21"/>
                <w:vertAlign w:val="superscript"/>
                <w14:textFill>
                  <w14:solidFill>
                    <w14:schemeClr w14:val="tx1"/>
                  </w14:solidFill>
                </w14:textFill>
              </w:rPr>
              <w:t>2</w:t>
            </w:r>
          </w:p>
        </w:tc>
        <w:tc>
          <w:tcPr>
            <w:tcW w:w="1302"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21590</w:t>
            </w:r>
          </w:p>
        </w:tc>
        <w:tc>
          <w:tcPr>
            <w:tcW w:w="974" w:type="dxa"/>
            <w:vAlign w:val="center"/>
          </w:tcPr>
          <w:p>
            <w:pPr>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5.</w:t>
            </w:r>
            <w:r>
              <w:rPr>
                <w:rFonts w:cs="Times New Roman" w:asciiTheme="minorEastAsia" w:hAnsiTheme="minorEastAsia"/>
                <w:color w:val="000000" w:themeColor="text1"/>
                <w:kern w:val="0"/>
                <w:szCs w:val="21"/>
                <w14:textFill>
                  <w14:solidFill>
                    <w14:schemeClr w14:val="tx1"/>
                  </w14:solidFill>
                </w14:textFill>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08"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5</w:t>
            </w:r>
          </w:p>
        </w:tc>
        <w:tc>
          <w:tcPr>
            <w:tcW w:w="2667"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固定资产总值</w:t>
            </w:r>
          </w:p>
        </w:tc>
        <w:tc>
          <w:tcPr>
            <w:tcW w:w="969"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万元</w:t>
            </w:r>
          </w:p>
        </w:tc>
        <w:tc>
          <w:tcPr>
            <w:tcW w:w="1302" w:type="dxa"/>
            <w:vAlign w:val="center"/>
          </w:tcPr>
          <w:p>
            <w:pPr>
              <w:widowControl/>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8731</w:t>
            </w:r>
          </w:p>
        </w:tc>
        <w:tc>
          <w:tcPr>
            <w:tcW w:w="974" w:type="dxa"/>
            <w:vAlign w:val="center"/>
          </w:tcPr>
          <w:p>
            <w:pPr>
              <w:jc w:val="center"/>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2.</w:t>
            </w:r>
            <w:r>
              <w:rPr>
                <w:rFonts w:cs="Times New Roman" w:asciiTheme="minorEastAsia" w:hAnsiTheme="minorEastAsia"/>
                <w:color w:val="000000" w:themeColor="text1"/>
                <w:kern w:val="0"/>
                <w:szCs w:val="21"/>
                <w14:textFill>
                  <w14:solidFill>
                    <w14:schemeClr w14:val="tx1"/>
                  </w14:solidFill>
                </w14:textFill>
              </w:rPr>
              <w:t>27</w:t>
            </w:r>
          </w:p>
        </w:tc>
      </w:tr>
    </w:tbl>
    <w:p>
      <w:pPr>
        <w:pStyle w:val="3"/>
        <w:rPr>
          <w:color w:val="000000" w:themeColor="text1"/>
          <w14:textFill>
            <w14:solidFill>
              <w14:schemeClr w14:val="tx1"/>
            </w14:solidFill>
          </w14:textFill>
        </w:rPr>
      </w:pPr>
      <w:bookmarkStart w:id="2" w:name="_Toc60300668"/>
      <w:r>
        <w:rPr>
          <w:rFonts w:hint="eastAsia"/>
          <w:color w:val="000000" w:themeColor="text1"/>
          <w14:textFill>
            <w14:solidFill>
              <w14:schemeClr w14:val="tx1"/>
            </w14:solidFill>
          </w14:textFill>
        </w:rPr>
        <w:t>1.2 学生情况</w:t>
      </w:r>
      <w:bookmarkEnd w:id="2"/>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2019—2020年度我校在校生38</w:t>
      </w:r>
      <w:r>
        <w:rPr>
          <w:rFonts w:asciiTheme="minorEastAsia" w:hAnsiTheme="minorEastAsia"/>
          <w:color w:val="000000" w:themeColor="text1"/>
          <w:sz w:val="28"/>
          <w:szCs w:val="28"/>
          <w14:textFill>
            <w14:solidFill>
              <w14:schemeClr w14:val="tx1"/>
            </w14:solidFill>
          </w14:textFill>
        </w:rPr>
        <w:t>37</w:t>
      </w:r>
      <w:r>
        <w:rPr>
          <w:rFonts w:hint="eastAsia" w:asciiTheme="minorEastAsia" w:hAnsiTheme="minorEastAsia"/>
          <w:color w:val="000000" w:themeColor="text1"/>
          <w:sz w:val="28"/>
          <w:szCs w:val="28"/>
          <w14:textFill>
            <w14:solidFill>
              <w14:schemeClr w14:val="tx1"/>
            </w14:solidFill>
          </w14:textFill>
        </w:rPr>
        <w:t>比去年同期略有增长，招生</w:t>
      </w:r>
      <w:r>
        <w:rPr>
          <w:rFonts w:asciiTheme="minorEastAsia" w:hAnsiTheme="minorEastAsia"/>
          <w:color w:val="000000" w:themeColor="text1"/>
          <w:sz w:val="28"/>
          <w:szCs w:val="28"/>
          <w14:textFill>
            <w14:solidFill>
              <w14:schemeClr w14:val="tx1"/>
            </w14:solidFill>
          </w14:textFill>
        </w:rPr>
        <w:t>1439</w:t>
      </w:r>
      <w:r>
        <w:rPr>
          <w:rFonts w:hint="eastAsia" w:asciiTheme="minorEastAsia" w:hAnsiTheme="minorEastAsia"/>
          <w:color w:val="000000" w:themeColor="text1"/>
          <w:sz w:val="28"/>
          <w:szCs w:val="28"/>
          <w14:textFill>
            <w14:solidFill>
              <w14:schemeClr w14:val="tx1"/>
            </w14:solidFill>
          </w14:textFill>
        </w:rPr>
        <w:t>，由于受教学场地限制，招生数和去年比较略有减少，毕业生</w:t>
      </w:r>
      <w:r>
        <w:rPr>
          <w:rFonts w:asciiTheme="minorEastAsia" w:hAnsiTheme="minorEastAsia"/>
          <w:color w:val="000000" w:themeColor="text1"/>
          <w:sz w:val="28"/>
          <w:szCs w:val="28"/>
          <w14:textFill>
            <w14:solidFill>
              <w14:schemeClr w14:val="tx1"/>
            </w14:solidFill>
          </w14:textFill>
        </w:rPr>
        <w:t>1047</w:t>
      </w:r>
      <w:r>
        <w:rPr>
          <w:rFonts w:hint="eastAsia" w:asciiTheme="minorEastAsia" w:hAnsiTheme="minorEastAsia"/>
          <w:color w:val="000000" w:themeColor="text1"/>
          <w:sz w:val="28"/>
          <w:szCs w:val="28"/>
          <w14:textFill>
            <w14:solidFill>
              <w14:schemeClr w14:val="tx1"/>
            </w14:solidFill>
          </w14:textFill>
        </w:rPr>
        <w:t>人，和去年比略有减少。学生90%来自于本县，10%来自于周边县市及省外，在校生中98%来自于农村。由于学校教育教学管理水平的逐步提升，今年的巩固率达94.2%，比去年同期的94.1%持平。学校积极开展各种培训，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-20</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年度培训企业员工、再就业人员、农民工、私人企业主等达到</w:t>
      </w:r>
      <w:r>
        <w:rPr>
          <w:rFonts w:asciiTheme="minorEastAsia" w:hAnsiTheme="minorEastAsia"/>
          <w:color w:val="000000" w:themeColor="text1"/>
          <w:sz w:val="28"/>
          <w:szCs w:val="28"/>
          <w14:textFill>
            <w14:solidFill>
              <w14:schemeClr w14:val="tx1"/>
            </w14:solidFill>
          </w14:textFill>
        </w:rPr>
        <w:t>650</w:t>
      </w:r>
      <w:r>
        <w:rPr>
          <w:rFonts w:hint="eastAsia" w:asciiTheme="minorEastAsia" w:hAnsiTheme="minorEastAsia"/>
          <w:color w:val="000000" w:themeColor="text1"/>
          <w:sz w:val="28"/>
          <w:szCs w:val="28"/>
          <w14:textFill>
            <w14:solidFill>
              <w14:schemeClr w14:val="tx1"/>
            </w14:solidFill>
          </w14:textFill>
        </w:rPr>
        <w:t>人次。详细情况见表1-2</w:t>
      </w:r>
    </w:p>
    <w:p>
      <w:pPr>
        <w:widowControl/>
        <w:shd w:val="clear" w:color="auto" w:fill="FFFFFF"/>
        <w:tabs>
          <w:tab w:val="center" w:pos="4156"/>
          <w:tab w:val="left" w:pos="6615"/>
        </w:tabs>
        <w:spacing w:line="360" w:lineRule="auto"/>
        <w:jc w:val="left"/>
        <w:rPr>
          <w:rFonts w:cs="黑体" w:asciiTheme="minorEastAsia" w:hAnsiTheme="minorEastAsia"/>
          <w:b/>
          <w:color w:val="000000" w:themeColor="text1"/>
          <w:sz w:val="24"/>
          <w14:textFill>
            <w14:solidFill>
              <w14:schemeClr w14:val="tx1"/>
            </w14:solidFill>
          </w14:textFill>
        </w:rPr>
      </w:pPr>
      <w:r>
        <w:rPr>
          <w:rFonts w:cs="黑体" w:asciiTheme="minorEastAsia" w:hAnsiTheme="minorEastAsia"/>
          <w:b/>
          <w:color w:val="000000" w:themeColor="text1"/>
          <w:sz w:val="24"/>
          <w14:textFill>
            <w14:solidFill>
              <w14:schemeClr w14:val="tx1"/>
            </w14:solidFill>
          </w14:textFill>
        </w:rPr>
        <w:tab/>
      </w:r>
      <w:r>
        <w:rPr>
          <w:rFonts w:hint="eastAsia" w:cs="黑体" w:asciiTheme="minorEastAsia" w:hAnsiTheme="minorEastAsia"/>
          <w:b/>
          <w:color w:val="000000" w:themeColor="text1"/>
          <w:sz w:val="24"/>
          <w14:textFill>
            <w14:solidFill>
              <w14:schemeClr w14:val="tx1"/>
            </w14:solidFill>
          </w14:textFill>
        </w:rPr>
        <w:t>表1-2  学生情况比较表</w:t>
      </w:r>
      <w:r>
        <w:rPr>
          <w:rFonts w:cs="黑体" w:asciiTheme="minorEastAsia" w:hAnsiTheme="minorEastAsia"/>
          <w:b/>
          <w:color w:val="000000" w:themeColor="text1"/>
          <w:sz w:val="24"/>
          <w14:textFill>
            <w14:solidFill>
              <w14:schemeClr w14:val="tx1"/>
            </w14:solidFill>
          </w14:textFill>
        </w:rPr>
        <w:tab/>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417"/>
        <w:gridCol w:w="1155"/>
        <w:gridCol w:w="1417"/>
        <w:gridCol w:w="111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555"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年度</w:t>
            </w:r>
          </w:p>
        </w:tc>
        <w:tc>
          <w:tcPr>
            <w:tcW w:w="1417"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在校生数</w:t>
            </w:r>
          </w:p>
        </w:tc>
        <w:tc>
          <w:tcPr>
            <w:tcW w:w="1155"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招生数</w:t>
            </w:r>
          </w:p>
        </w:tc>
        <w:tc>
          <w:tcPr>
            <w:tcW w:w="1417"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毕业生数</w:t>
            </w:r>
          </w:p>
        </w:tc>
        <w:tc>
          <w:tcPr>
            <w:tcW w:w="1114"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巩固率</w:t>
            </w:r>
          </w:p>
        </w:tc>
        <w:tc>
          <w:tcPr>
            <w:tcW w:w="1638" w:type="dxa"/>
            <w:shd w:val="clear" w:color="auto" w:fill="B8CCE4" w:themeFill="accent1" w:themeFillTint="66"/>
            <w:vAlign w:val="center"/>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培训学生</w:t>
            </w:r>
          </w:p>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55"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2018-2019</w:t>
            </w:r>
          </w:p>
        </w:tc>
        <w:tc>
          <w:tcPr>
            <w:tcW w:w="1417"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3810</w:t>
            </w:r>
          </w:p>
        </w:tc>
        <w:tc>
          <w:tcPr>
            <w:tcW w:w="1155"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1594</w:t>
            </w:r>
          </w:p>
        </w:tc>
        <w:tc>
          <w:tcPr>
            <w:tcW w:w="1417"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1190</w:t>
            </w:r>
          </w:p>
        </w:tc>
        <w:tc>
          <w:tcPr>
            <w:tcW w:w="1114" w:type="dxa"/>
            <w:vAlign w:val="center"/>
          </w:tcPr>
          <w:p>
            <w:pPr>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94.2%</w:t>
            </w:r>
          </w:p>
        </w:tc>
        <w:tc>
          <w:tcPr>
            <w:tcW w:w="1638" w:type="dxa"/>
            <w:vAlign w:val="center"/>
          </w:tcPr>
          <w:p>
            <w:pPr>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1548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55"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20</w:t>
            </w:r>
            <w:r>
              <w:rPr>
                <w:rFonts w:cs="Times New Roman" w:asciiTheme="minorEastAsia" w:hAnsiTheme="minorEastAsia"/>
                <w:color w:val="000000" w:themeColor="text1"/>
                <w:kern w:val="0"/>
                <w:sz w:val="28"/>
                <w:szCs w:val="28"/>
                <w14:textFill>
                  <w14:solidFill>
                    <w14:schemeClr w14:val="tx1"/>
                  </w14:solidFill>
                </w14:textFill>
              </w:rPr>
              <w:t>19</w:t>
            </w:r>
            <w:r>
              <w:rPr>
                <w:rFonts w:hint="eastAsia" w:cs="Times New Roman" w:asciiTheme="minorEastAsia" w:hAnsiTheme="minorEastAsia"/>
                <w:color w:val="000000" w:themeColor="text1"/>
                <w:kern w:val="0"/>
                <w:sz w:val="28"/>
                <w:szCs w:val="28"/>
                <w14:textFill>
                  <w14:solidFill>
                    <w14:schemeClr w14:val="tx1"/>
                  </w14:solidFill>
                </w14:textFill>
              </w:rPr>
              <w:t>-20</w:t>
            </w:r>
            <w:r>
              <w:rPr>
                <w:rFonts w:cs="Times New Roman" w:asciiTheme="minorEastAsia" w:hAnsiTheme="minorEastAsia"/>
                <w:color w:val="000000" w:themeColor="text1"/>
                <w:kern w:val="0"/>
                <w:sz w:val="28"/>
                <w:szCs w:val="28"/>
                <w14:textFill>
                  <w14:solidFill>
                    <w14:schemeClr w14:val="tx1"/>
                  </w14:solidFill>
                </w14:textFill>
              </w:rPr>
              <w:t>20</w:t>
            </w:r>
          </w:p>
        </w:tc>
        <w:tc>
          <w:tcPr>
            <w:tcW w:w="1417"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3</w:t>
            </w:r>
            <w:r>
              <w:rPr>
                <w:rFonts w:cs="Times New Roman" w:asciiTheme="minorEastAsia" w:hAnsiTheme="minorEastAsia"/>
                <w:color w:val="000000" w:themeColor="text1"/>
                <w:kern w:val="0"/>
                <w:sz w:val="28"/>
                <w:szCs w:val="28"/>
                <w14:textFill>
                  <w14:solidFill>
                    <w14:schemeClr w14:val="tx1"/>
                  </w14:solidFill>
                </w14:textFill>
              </w:rPr>
              <w:t>837</w:t>
            </w:r>
          </w:p>
        </w:tc>
        <w:tc>
          <w:tcPr>
            <w:tcW w:w="1155"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1</w:t>
            </w:r>
            <w:r>
              <w:rPr>
                <w:rFonts w:cs="Times New Roman" w:asciiTheme="minorEastAsia" w:hAnsiTheme="minorEastAsia"/>
                <w:color w:val="000000" w:themeColor="text1"/>
                <w:kern w:val="0"/>
                <w:sz w:val="28"/>
                <w:szCs w:val="28"/>
                <w14:textFill>
                  <w14:solidFill>
                    <w14:schemeClr w14:val="tx1"/>
                  </w14:solidFill>
                </w14:textFill>
              </w:rPr>
              <w:t>439</w:t>
            </w:r>
          </w:p>
        </w:tc>
        <w:tc>
          <w:tcPr>
            <w:tcW w:w="1417" w:type="dxa"/>
            <w:vAlign w:val="center"/>
          </w:tcPr>
          <w:p>
            <w:pPr>
              <w:widowControl/>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1</w:t>
            </w:r>
            <w:r>
              <w:rPr>
                <w:rFonts w:cs="Times New Roman" w:asciiTheme="minorEastAsia" w:hAnsiTheme="minorEastAsia"/>
                <w:color w:val="000000" w:themeColor="text1"/>
                <w:kern w:val="0"/>
                <w:sz w:val="28"/>
                <w:szCs w:val="28"/>
                <w14:textFill>
                  <w14:solidFill>
                    <w14:schemeClr w14:val="tx1"/>
                  </w14:solidFill>
                </w14:textFill>
              </w:rPr>
              <w:t>047</w:t>
            </w:r>
          </w:p>
        </w:tc>
        <w:tc>
          <w:tcPr>
            <w:tcW w:w="1114" w:type="dxa"/>
            <w:vAlign w:val="center"/>
          </w:tcPr>
          <w:p>
            <w:pPr>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9</w:t>
            </w:r>
            <w:r>
              <w:rPr>
                <w:rFonts w:cs="Times New Roman" w:asciiTheme="minorEastAsia" w:hAnsiTheme="minorEastAsia"/>
                <w:color w:val="000000" w:themeColor="text1"/>
                <w:kern w:val="0"/>
                <w:sz w:val="28"/>
                <w:szCs w:val="28"/>
                <w14:textFill>
                  <w14:solidFill>
                    <w14:schemeClr w14:val="tx1"/>
                  </w14:solidFill>
                </w14:textFill>
              </w:rPr>
              <w:t>3.7</w:t>
            </w:r>
            <w:r>
              <w:rPr>
                <w:rFonts w:hint="eastAsia" w:cs="Times New Roman" w:asciiTheme="minorEastAsia" w:hAnsiTheme="minorEastAsia"/>
                <w:color w:val="000000" w:themeColor="text1"/>
                <w:kern w:val="0"/>
                <w:sz w:val="28"/>
                <w:szCs w:val="28"/>
                <w14:textFill>
                  <w14:solidFill>
                    <w14:schemeClr w14:val="tx1"/>
                  </w14:solidFill>
                </w14:textFill>
              </w:rPr>
              <w:t>%</w:t>
            </w:r>
          </w:p>
        </w:tc>
        <w:tc>
          <w:tcPr>
            <w:tcW w:w="1638" w:type="dxa"/>
            <w:vAlign w:val="center"/>
          </w:tcPr>
          <w:p>
            <w:pPr>
              <w:jc w:val="center"/>
              <w:rPr>
                <w:rFonts w:cs="Times New Roman" w:asciiTheme="minorEastAsia" w:hAnsiTheme="minorEastAsia"/>
                <w:color w:val="000000" w:themeColor="text1"/>
                <w:kern w:val="0"/>
                <w:sz w:val="28"/>
                <w:szCs w:val="28"/>
                <w14:textFill>
                  <w14:solidFill>
                    <w14:schemeClr w14:val="tx1"/>
                  </w14:solidFill>
                </w14:textFill>
              </w:rPr>
            </w:pPr>
            <w:r>
              <w:rPr>
                <w:rFonts w:hint="eastAsia" w:cs="Times New Roman" w:asciiTheme="minorEastAsia" w:hAnsiTheme="minorEastAsia"/>
                <w:color w:val="000000" w:themeColor="text1"/>
                <w:kern w:val="0"/>
                <w:sz w:val="28"/>
                <w:szCs w:val="28"/>
                <w14:textFill>
                  <w14:solidFill>
                    <w14:schemeClr w14:val="tx1"/>
                  </w14:solidFill>
                </w14:textFill>
              </w:rPr>
              <w:t>6</w:t>
            </w:r>
            <w:r>
              <w:rPr>
                <w:rFonts w:cs="Times New Roman" w:asciiTheme="minorEastAsia" w:hAnsiTheme="minorEastAsia"/>
                <w:color w:val="000000" w:themeColor="text1"/>
                <w:kern w:val="0"/>
                <w:sz w:val="28"/>
                <w:szCs w:val="28"/>
                <w14:textFill>
                  <w14:solidFill>
                    <w14:schemeClr w14:val="tx1"/>
                  </w14:solidFill>
                </w14:textFill>
              </w:rPr>
              <w:t>50</w:t>
            </w:r>
          </w:p>
        </w:tc>
      </w:tr>
    </w:tbl>
    <w:p>
      <w:pPr>
        <w:pStyle w:val="3"/>
        <w:rPr>
          <w:color w:val="000000" w:themeColor="text1"/>
          <w14:textFill>
            <w14:solidFill>
              <w14:schemeClr w14:val="tx1"/>
            </w14:solidFill>
          </w14:textFill>
        </w:rPr>
      </w:pPr>
      <w:bookmarkStart w:id="3" w:name="_Toc60300669"/>
      <w:r>
        <w:rPr>
          <w:rFonts w:hint="eastAsia"/>
          <w:color w:val="000000" w:themeColor="text1"/>
          <w14:textFill>
            <w14:solidFill>
              <w14:schemeClr w14:val="tx1"/>
            </w14:solidFill>
          </w14:textFill>
        </w:rPr>
        <w:t>1.3教师队伍</w:t>
      </w:r>
      <w:bookmarkEnd w:id="3"/>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我校有教职员工275人，后勤教辅人员96人，专兼职教师179人，生师比为</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19</w:t>
      </w:r>
      <w:r>
        <w:rPr>
          <w:rFonts w:hint="eastAsia" w:asciiTheme="minorEastAsia" w:hAnsiTheme="minorEastAsia"/>
          <w:color w:val="000000" w:themeColor="text1"/>
          <w:sz w:val="28"/>
          <w:szCs w:val="28"/>
          <w14:textFill>
            <w14:solidFill>
              <w14:schemeClr w14:val="tx1"/>
            </w14:solidFill>
          </w14:textFill>
        </w:rPr>
        <w:t xml:space="preserve"> ：1。“双师型”教师81人，占比4</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%。专任教师</w:t>
      </w:r>
      <w:r>
        <w:rPr>
          <w:rFonts w:asciiTheme="minorEastAsia" w:hAnsiTheme="minorEastAsia"/>
          <w:color w:val="000000" w:themeColor="text1"/>
          <w:sz w:val="28"/>
          <w:szCs w:val="28"/>
          <w14:textFill>
            <w14:solidFill>
              <w14:schemeClr w14:val="tx1"/>
            </w14:solidFill>
          </w14:textFill>
        </w:rPr>
        <w:t>164</w:t>
      </w:r>
      <w:r>
        <w:rPr>
          <w:rFonts w:hint="eastAsia" w:asciiTheme="minorEastAsia" w:hAnsiTheme="minorEastAsia"/>
          <w:color w:val="000000" w:themeColor="text1"/>
          <w:sz w:val="28"/>
          <w:szCs w:val="28"/>
          <w14:textFill>
            <w14:solidFill>
              <w14:schemeClr w14:val="tx1"/>
            </w14:solidFill>
          </w14:textFill>
        </w:rPr>
        <w:t>人（其中文化基础课专任教师81人，专业课专任教师</w:t>
      </w:r>
      <w:r>
        <w:rPr>
          <w:rFonts w:asciiTheme="minorEastAsia" w:hAnsiTheme="minorEastAsia"/>
          <w:color w:val="000000" w:themeColor="text1"/>
          <w:sz w:val="28"/>
          <w:szCs w:val="28"/>
          <w14:textFill>
            <w14:solidFill>
              <w14:schemeClr w14:val="tx1"/>
            </w14:solidFill>
          </w14:textFill>
        </w:rPr>
        <w:t>83</w:t>
      </w:r>
      <w:r>
        <w:rPr>
          <w:rFonts w:hint="eastAsia" w:asciiTheme="minorEastAsia" w:hAnsiTheme="minorEastAsia"/>
          <w:color w:val="000000" w:themeColor="text1"/>
          <w:sz w:val="28"/>
          <w:szCs w:val="28"/>
          <w14:textFill>
            <w14:solidFill>
              <w14:schemeClr w14:val="tx1"/>
            </w14:solidFill>
          </w14:textFill>
        </w:rPr>
        <w:t>人</w:t>
      </w:r>
      <w:r>
        <w:rPr>
          <w:rFonts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，兼职老师1人，其中行业企业兼职教师1人。专任教师中本科学历</w:t>
      </w:r>
      <w:r>
        <w:rPr>
          <w:rFonts w:asciiTheme="minorEastAsia" w:hAnsiTheme="minorEastAsia"/>
          <w:color w:val="000000" w:themeColor="text1"/>
          <w:sz w:val="28"/>
          <w:szCs w:val="28"/>
          <w14:textFill>
            <w14:solidFill>
              <w14:schemeClr w14:val="tx1"/>
            </w14:solidFill>
          </w14:textFill>
        </w:rPr>
        <w:t>151</w:t>
      </w:r>
      <w:r>
        <w:rPr>
          <w:rFonts w:hint="eastAsia" w:asciiTheme="minorEastAsia" w:hAnsiTheme="minorEastAsia"/>
          <w:color w:val="000000" w:themeColor="text1"/>
          <w:sz w:val="28"/>
          <w:szCs w:val="28"/>
          <w14:textFill>
            <w14:solidFill>
              <w14:schemeClr w14:val="tx1"/>
            </w14:solidFill>
          </w14:textFill>
        </w:rPr>
        <w:t>人，占比9</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07</w:t>
      </w:r>
      <w:r>
        <w:rPr>
          <w:rFonts w:hint="eastAsia" w:asciiTheme="minorEastAsia" w:hAnsiTheme="minorEastAsia"/>
          <w:color w:val="000000" w:themeColor="text1"/>
          <w:sz w:val="28"/>
          <w:szCs w:val="28"/>
          <w14:textFill>
            <w14:solidFill>
              <w14:schemeClr w14:val="tx1"/>
            </w14:solidFill>
          </w14:textFill>
        </w:rPr>
        <w:t>%，较上年持平。专任教师中高级教师3</w:t>
      </w:r>
      <w:r>
        <w:rPr>
          <w:rFonts w:asciiTheme="minorEastAsia" w:hAnsiTheme="minorEastAsia"/>
          <w:color w:val="000000" w:themeColor="text1"/>
          <w:sz w:val="28"/>
          <w:szCs w:val="28"/>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人，占比</w:t>
      </w:r>
      <w:r>
        <w:rPr>
          <w:rFonts w:asciiTheme="minorEastAsia" w:hAnsiTheme="minorEastAsia"/>
          <w:color w:val="000000" w:themeColor="text1"/>
          <w:sz w:val="28"/>
          <w:szCs w:val="28"/>
          <w14:textFill>
            <w14:solidFill>
              <w14:schemeClr w14:val="tx1"/>
            </w14:solidFill>
          </w14:textFill>
        </w:rPr>
        <w:t>22</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%，较上年有所提高。我校一年来增加教师</w:t>
      </w:r>
      <w:r>
        <w:rPr>
          <w:rFonts w:asciiTheme="minorEastAsia" w:hAnsiTheme="minorEastAsia"/>
          <w:color w:val="000000" w:themeColor="text1"/>
          <w:sz w:val="28"/>
          <w:szCs w:val="28"/>
          <w14:textFill>
            <w14:solidFill>
              <w14:schemeClr w14:val="tx1"/>
            </w14:solidFill>
          </w14:textFill>
        </w:rPr>
        <w:t>8</w:t>
      </w:r>
      <w:r>
        <w:rPr>
          <w:rFonts w:hint="eastAsia" w:asciiTheme="minorEastAsia" w:hAnsiTheme="minorEastAsia"/>
          <w:color w:val="000000" w:themeColor="text1"/>
          <w:sz w:val="28"/>
          <w:szCs w:val="28"/>
          <w14:textFill>
            <w14:solidFill>
              <w14:schemeClr w14:val="tx1"/>
            </w14:solidFill>
          </w14:textFill>
        </w:rPr>
        <w:t>人，师资结构更加合理，基本能够满足当前规模的学校教育教学的需要。详细情况见图1-3-1和1-3-2</w:t>
      </w:r>
    </w:p>
    <w:p>
      <w:pPr>
        <w:ind w:firstLine="420" w:firstLineChars="200"/>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560" w:firstLineChars="200"/>
        <w:rPr>
          <w:rFonts w:asciiTheme="minorEastAsia" w:hAnsiTheme="minorEastAsia"/>
          <w:color w:val="000000" w:themeColor="text1"/>
          <w:sz w:val="28"/>
          <w:szCs w:val="28"/>
          <w14:textFill>
            <w14:solidFill>
              <w14:schemeClr w14:val="tx1"/>
            </w14:solidFill>
          </w14:textFill>
        </w:rPr>
      </w:pPr>
    </w:p>
    <w:p>
      <w:pPr>
        <w:ind w:firstLine="420" w:firstLineChars="200"/>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57200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560" w:firstLineChars="200"/>
        <w:rPr>
          <w:rFonts w:asciiTheme="minorEastAsia" w:hAnsiTheme="minorEastAsia"/>
          <w:color w:val="000000" w:themeColor="text1"/>
          <w:sz w:val="28"/>
          <w:szCs w:val="28"/>
          <w14:textFill>
            <w14:solidFill>
              <w14:schemeClr w14:val="tx1"/>
            </w14:solidFill>
          </w14:textFill>
        </w:rPr>
      </w:pPr>
    </w:p>
    <w:p>
      <w:pPr>
        <w:pStyle w:val="3"/>
        <w:rPr>
          <w:color w:val="000000" w:themeColor="text1"/>
          <w14:textFill>
            <w14:solidFill>
              <w14:schemeClr w14:val="tx1"/>
            </w14:solidFill>
          </w14:textFill>
        </w:rPr>
      </w:pPr>
      <w:bookmarkStart w:id="4" w:name="_Toc60300670"/>
      <w:r>
        <w:rPr>
          <w:rFonts w:hint="eastAsia"/>
          <w:color w:val="000000" w:themeColor="text1"/>
          <w14:textFill>
            <w14:solidFill>
              <w14:schemeClr w14:val="tx1"/>
            </w14:solidFill>
          </w14:textFill>
        </w:rPr>
        <w:t>1.4设施设备</w:t>
      </w:r>
      <w:bookmarkEnd w:id="4"/>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学校教学设备设施总价值</w:t>
      </w:r>
      <w:r>
        <w:rPr>
          <w:rFonts w:asciiTheme="minorEastAsia" w:hAnsiTheme="minorEastAsia"/>
          <w:color w:val="000000" w:themeColor="text1"/>
          <w:sz w:val="28"/>
          <w:szCs w:val="28"/>
          <w14:textFill>
            <w14:solidFill>
              <w14:schemeClr w14:val="tx1"/>
            </w14:solidFill>
          </w14:textFill>
        </w:rPr>
        <w:t>6438</w:t>
      </w:r>
      <w:r>
        <w:rPr>
          <w:rFonts w:hint="eastAsia" w:asciiTheme="minorEastAsia" w:hAnsiTheme="minorEastAsia"/>
          <w:color w:val="000000" w:themeColor="text1"/>
          <w:sz w:val="28"/>
          <w:szCs w:val="28"/>
          <w14:textFill>
            <w14:solidFill>
              <w14:schemeClr w14:val="tx1"/>
            </w14:solidFill>
          </w14:textFill>
        </w:rPr>
        <w:t>万元，生均教学仪器设备值1.</w:t>
      </w: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万元。教学实训资产</w:t>
      </w:r>
      <w:r>
        <w:rPr>
          <w:rFonts w:asciiTheme="minorEastAsia" w:hAnsiTheme="minorEastAsia"/>
          <w:color w:val="000000" w:themeColor="text1"/>
          <w:sz w:val="28"/>
          <w:szCs w:val="28"/>
          <w14:textFill>
            <w14:solidFill>
              <w14:schemeClr w14:val="tx1"/>
            </w14:solidFill>
          </w14:textFill>
        </w:rPr>
        <w:t>1777</w:t>
      </w:r>
      <w:r>
        <w:rPr>
          <w:rFonts w:hint="eastAsia" w:asciiTheme="minorEastAsia" w:hAnsiTheme="minorEastAsia"/>
          <w:color w:val="000000" w:themeColor="text1"/>
          <w:sz w:val="28"/>
          <w:szCs w:val="28"/>
          <w14:textFill>
            <w14:solidFill>
              <w14:schemeClr w14:val="tx1"/>
            </w14:solidFill>
          </w14:textFill>
        </w:rPr>
        <w:t>万元，生均实训设备值0.43万元。生均实训实习工位数0.</w:t>
      </w:r>
      <w:r>
        <w:rPr>
          <w:rFonts w:asciiTheme="minorEastAsia" w:hAnsiTheme="minorEastAsia"/>
          <w:color w:val="000000" w:themeColor="text1"/>
          <w:sz w:val="28"/>
          <w:szCs w:val="28"/>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个。有图书10万册，生均图书26.2册。由于学生总数略有增加，教学仪器设备值，生均实训设备值，生均实训实习工位数较上年都基本持平。</w:t>
      </w:r>
    </w:p>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表1-4-1设施设备对比情况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1653"/>
        <w:gridCol w:w="1660"/>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shd w:val="clear" w:color="auto" w:fill="C6D9F0" w:themeFill="text2" w:themeFillTint="33"/>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年度</w:t>
            </w:r>
          </w:p>
        </w:tc>
        <w:tc>
          <w:tcPr>
            <w:tcW w:w="1653" w:type="dxa"/>
            <w:shd w:val="clear" w:color="auto" w:fill="C6D9F0" w:themeFill="text2" w:themeFillTint="33"/>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生均教学仪器设备值</w:t>
            </w:r>
          </w:p>
        </w:tc>
        <w:tc>
          <w:tcPr>
            <w:tcW w:w="1660" w:type="dxa"/>
            <w:shd w:val="clear" w:color="auto" w:fill="C6D9F0" w:themeFill="text2" w:themeFillTint="33"/>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生均实训设备值</w:t>
            </w:r>
          </w:p>
        </w:tc>
        <w:tc>
          <w:tcPr>
            <w:tcW w:w="1661" w:type="dxa"/>
            <w:shd w:val="clear" w:color="auto" w:fill="C6D9F0" w:themeFill="text2" w:themeFillTint="33"/>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生均实训工位</w:t>
            </w:r>
          </w:p>
        </w:tc>
        <w:tc>
          <w:tcPr>
            <w:tcW w:w="1661" w:type="dxa"/>
            <w:shd w:val="clear" w:color="auto" w:fill="C6D9F0" w:themeFill="text2" w:themeFillTint="33"/>
          </w:tcPr>
          <w:p>
            <w:pPr>
              <w:widowControl/>
              <w:jc w:val="center"/>
              <w:rPr>
                <w:rFonts w:cs="Times New Roman" w:asciiTheme="minorEastAsia" w:hAnsiTheme="minorEastAsia"/>
                <w:b/>
                <w:color w:val="000000" w:themeColor="text1"/>
                <w:kern w:val="0"/>
                <w:sz w:val="28"/>
                <w:szCs w:val="28"/>
                <w14:textFill>
                  <w14:solidFill>
                    <w14:schemeClr w14:val="tx1"/>
                  </w14:solidFill>
                </w14:textFill>
              </w:rPr>
            </w:pPr>
            <w:r>
              <w:rPr>
                <w:rFonts w:hint="eastAsia" w:cs="Times New Roman" w:asciiTheme="minorEastAsia" w:hAnsiTheme="minorEastAsia"/>
                <w:b/>
                <w:color w:val="000000" w:themeColor="text1"/>
                <w:kern w:val="0"/>
                <w:sz w:val="28"/>
                <w:szCs w:val="28"/>
                <w14:textFill>
                  <w14:solidFill>
                    <w14:schemeClr w14:val="tx1"/>
                  </w14:solidFill>
                </w14:textFill>
              </w:rPr>
              <w:t>生均图书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7"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2018-2019</w:t>
            </w:r>
          </w:p>
        </w:tc>
        <w:tc>
          <w:tcPr>
            <w:tcW w:w="1653"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1.9万</w:t>
            </w:r>
          </w:p>
        </w:tc>
        <w:tc>
          <w:tcPr>
            <w:tcW w:w="1660" w:type="dxa"/>
          </w:tcPr>
          <w:p>
            <w:pP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0.43</w:t>
            </w:r>
          </w:p>
        </w:tc>
        <w:tc>
          <w:tcPr>
            <w:tcW w:w="1661"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0.65</w:t>
            </w:r>
          </w:p>
        </w:tc>
        <w:tc>
          <w:tcPr>
            <w:tcW w:w="1661"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7"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w:t>
            </w:r>
            <w:r>
              <w:rPr>
                <w:rFonts w:asciiTheme="minorEastAsia" w:hAnsiTheme="minorEastAsia"/>
                <w:color w:val="000000" w:themeColor="text1"/>
                <w:sz w:val="28"/>
                <w:szCs w:val="28"/>
                <w14:textFill>
                  <w14:solidFill>
                    <w14:schemeClr w14:val="tx1"/>
                  </w14:solidFill>
                </w14:textFill>
              </w:rPr>
              <w:t>019</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2020</w:t>
            </w:r>
          </w:p>
        </w:tc>
        <w:tc>
          <w:tcPr>
            <w:tcW w:w="1653"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asciiTheme="minorEastAsia" w:hAnsiTheme="minorEastAsia"/>
                <w:color w:val="000000" w:themeColor="text1"/>
                <w:sz w:val="28"/>
                <w:szCs w:val="28"/>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万</w:t>
            </w:r>
          </w:p>
        </w:tc>
        <w:tc>
          <w:tcPr>
            <w:tcW w:w="1660"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0</w:t>
            </w:r>
            <w:r>
              <w:rPr>
                <w:rFonts w:asciiTheme="minorEastAsia" w:hAnsiTheme="minorEastAsia"/>
                <w:color w:val="000000" w:themeColor="text1"/>
                <w:sz w:val="28"/>
                <w:szCs w:val="28"/>
                <w14:textFill>
                  <w14:solidFill>
                    <w14:schemeClr w14:val="tx1"/>
                  </w14:solidFill>
                </w14:textFill>
              </w:rPr>
              <w:t>.43</w:t>
            </w:r>
          </w:p>
        </w:tc>
        <w:tc>
          <w:tcPr>
            <w:tcW w:w="1661"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0</w:t>
            </w:r>
            <w:r>
              <w:rPr>
                <w:rFonts w:asciiTheme="minorEastAsia" w:hAnsiTheme="minorEastAsia"/>
                <w:color w:val="000000" w:themeColor="text1"/>
                <w:sz w:val="28"/>
                <w:szCs w:val="28"/>
                <w14:textFill>
                  <w14:solidFill>
                    <w14:schemeClr w14:val="tx1"/>
                  </w14:solidFill>
                </w14:textFill>
              </w:rPr>
              <w:t>.7</w:t>
            </w:r>
          </w:p>
        </w:tc>
        <w:tc>
          <w:tcPr>
            <w:tcW w:w="1661"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w:t>
            </w:r>
            <w:r>
              <w:rPr>
                <w:rFonts w:asciiTheme="minorEastAsia" w:hAnsiTheme="minorEastAsia"/>
                <w:color w:val="000000" w:themeColor="text1"/>
                <w:sz w:val="28"/>
                <w:szCs w:val="28"/>
                <w14:textFill>
                  <w14:solidFill>
                    <w14:schemeClr w14:val="tx1"/>
                  </w14:solidFill>
                </w14:textFill>
              </w:rPr>
              <w:t>6.0</w:t>
            </w:r>
          </w:p>
        </w:tc>
      </w:tr>
    </w:tbl>
    <w:p>
      <w:pPr>
        <w:rPr>
          <w:rFonts w:asciiTheme="minorEastAsia" w:hAnsiTheme="minorEastAsia"/>
          <w:color w:val="000000" w:themeColor="text1"/>
          <w:sz w:val="28"/>
          <w:szCs w:val="28"/>
          <w14:textFill>
            <w14:solidFill>
              <w14:schemeClr w14:val="tx1"/>
            </w14:solidFill>
          </w14:textFill>
        </w:rPr>
      </w:pPr>
    </w:p>
    <w:p>
      <w:pPr>
        <w:pStyle w:val="2"/>
        <w:rPr>
          <w:color w:val="000000" w:themeColor="text1"/>
          <w14:textFill>
            <w14:solidFill>
              <w14:schemeClr w14:val="tx1"/>
            </w14:solidFill>
          </w14:textFill>
        </w:rPr>
      </w:pPr>
      <w:bookmarkStart w:id="5" w:name="_Toc60300671"/>
      <w:r>
        <w:rPr>
          <w:rFonts w:hint="eastAsia"/>
          <w:color w:val="000000" w:themeColor="text1"/>
          <w14:textFill>
            <w14:solidFill>
              <w14:schemeClr w14:val="tx1"/>
            </w14:solidFill>
          </w14:textFill>
        </w:rPr>
        <w:t>2.学生发展</w:t>
      </w:r>
      <w:bookmarkEnd w:id="5"/>
    </w:p>
    <w:p>
      <w:pPr>
        <w:pStyle w:val="2"/>
        <w:rPr>
          <w:color w:val="000000" w:themeColor="text1"/>
          <w14:textFill>
            <w14:solidFill>
              <w14:schemeClr w14:val="tx1"/>
            </w14:solidFill>
          </w14:textFill>
        </w:rPr>
      </w:pPr>
      <w:bookmarkStart w:id="6" w:name="_Toc60300672"/>
      <w:r>
        <w:rPr>
          <w:rFonts w:hint="eastAsia"/>
          <w:color w:val="000000" w:themeColor="text1"/>
          <w14:textFill>
            <w14:solidFill>
              <w14:schemeClr w14:val="tx1"/>
            </w14:solidFill>
          </w14:textFill>
        </w:rPr>
        <w:t>2.1学生素质</w:t>
      </w:r>
      <w:bookmarkEnd w:id="6"/>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长期重视学生思想政治教育，每周开设1节德育课，使用的都是国家标准德育教材。学校高度重视德育工作，坚持学校的意识形态教育主阵地的作用不放松。配备有7名专职德育教师，德育老师专业对口率100%。有专业的心理辅导教师3人，建有专门的心理咨询室一间。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年有多名学生参加各级各类大赛获奖，取得了喜人的成绩。学生操行考核比例见下图2-1：</w:t>
      </w:r>
    </w:p>
    <w:p>
      <w:pPr>
        <w:ind w:firstLine="420" w:firstLineChars="200"/>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3880485" cy="1520190"/>
            <wp:effectExtent l="0" t="0" r="5715" b="38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我校始终把教学质量当作学校的生命线，常抓教学质量不放松，教学常规管理规范有序。学生文化课合格率达</w:t>
      </w:r>
      <w:r>
        <w:rPr>
          <w:rFonts w:asciiTheme="minorEastAsia" w:hAnsiTheme="minorEastAsia"/>
          <w:color w:val="000000" w:themeColor="text1"/>
          <w:sz w:val="28"/>
          <w:szCs w:val="28"/>
          <w14:textFill>
            <w14:solidFill>
              <w14:schemeClr w14:val="tx1"/>
            </w14:solidFill>
          </w14:textFill>
        </w:rPr>
        <w:t>62</w:t>
      </w:r>
      <w:r>
        <w:rPr>
          <w:rFonts w:hint="eastAsia" w:asciiTheme="minorEastAsia" w:hAnsiTheme="minorEastAsia"/>
          <w:color w:val="000000" w:themeColor="text1"/>
          <w:sz w:val="28"/>
          <w:szCs w:val="28"/>
          <w14:textFill>
            <w14:solidFill>
              <w14:schemeClr w14:val="tx1"/>
            </w14:solidFill>
          </w14:textFill>
        </w:rPr>
        <w:t>%，专业技能合格率达</w:t>
      </w:r>
      <w:r>
        <w:rPr>
          <w:rFonts w:asciiTheme="minorEastAsia" w:hAnsiTheme="minorEastAsia"/>
          <w:color w:val="000000" w:themeColor="text1"/>
          <w:sz w:val="28"/>
          <w:szCs w:val="28"/>
          <w14:textFill>
            <w14:solidFill>
              <w14:schemeClr w14:val="tx1"/>
            </w14:solidFill>
          </w14:textFill>
        </w:rPr>
        <w:t>75</w:t>
      </w:r>
      <w:r>
        <w:rPr>
          <w:rFonts w:hint="eastAsia" w:asciiTheme="minorEastAsia" w:hAnsiTheme="minorEastAsia"/>
          <w:color w:val="000000" w:themeColor="text1"/>
          <w:sz w:val="28"/>
          <w:szCs w:val="28"/>
          <w14:textFill>
            <w14:solidFill>
              <w14:schemeClr w14:val="tx1"/>
            </w14:solidFill>
          </w14:textFill>
        </w:rPr>
        <w:t>%。我校学生在全州第本届学生技能大赛中取得优异成绩，我校获团体总分二等奖。1</w:t>
      </w:r>
      <w:r>
        <w:rPr>
          <w:rFonts w:asciiTheme="minorEastAsia" w:hAnsiTheme="minorEastAsia"/>
          <w:color w:val="000000" w:themeColor="text1"/>
          <w:sz w:val="28"/>
          <w:szCs w:val="28"/>
          <w14:textFill>
            <w14:solidFill>
              <w14:schemeClr w14:val="tx1"/>
            </w14:solidFill>
          </w14:textFill>
        </w:rPr>
        <w:t>8</w:t>
      </w:r>
      <w:r>
        <w:rPr>
          <w:rFonts w:hint="eastAsia" w:asciiTheme="minorEastAsia" w:hAnsiTheme="minorEastAsia"/>
          <w:color w:val="000000" w:themeColor="text1"/>
          <w:sz w:val="28"/>
          <w:szCs w:val="28"/>
          <w14:textFill>
            <w14:solidFill>
              <w14:schemeClr w14:val="tx1"/>
            </w14:solidFill>
          </w14:textFill>
        </w:rPr>
        <w:t>人获一等奖，</w:t>
      </w: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人获二等奖，</w:t>
      </w:r>
      <w:r>
        <w:rPr>
          <w:rFonts w:asciiTheme="minorEastAsia" w:hAnsiTheme="minorEastAsia"/>
          <w:color w:val="000000" w:themeColor="text1"/>
          <w:sz w:val="28"/>
          <w:szCs w:val="28"/>
          <w14:textFill>
            <w14:solidFill>
              <w14:schemeClr w14:val="tx1"/>
            </w14:solidFill>
          </w14:textFill>
        </w:rPr>
        <w:t>13</w:t>
      </w:r>
      <w:r>
        <w:rPr>
          <w:rFonts w:hint="eastAsia" w:asciiTheme="minorEastAsia" w:hAnsiTheme="minorEastAsia"/>
          <w:color w:val="000000" w:themeColor="text1"/>
          <w:sz w:val="28"/>
          <w:szCs w:val="28"/>
          <w14:textFill>
            <w14:solidFill>
              <w14:schemeClr w14:val="tx1"/>
            </w14:solidFill>
          </w14:textFill>
        </w:rPr>
        <w:t>人获三等奖。我校高度重视学生体质健康，严格按标准开设体育与健康课，学生体测合格率达9</w:t>
      </w:r>
      <w:r>
        <w:rPr>
          <w:rFonts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14:textFill>
            <w14:solidFill>
              <w14:schemeClr w14:val="tx1"/>
            </w14:solidFill>
          </w14:textFill>
        </w:rPr>
        <w:t>%。由于学校教育教学实行精细化管理，学生毕业率达100%。</w:t>
      </w:r>
    </w:p>
    <w:p>
      <w:pPr>
        <w:pStyle w:val="3"/>
        <w:rPr>
          <w:color w:val="000000" w:themeColor="text1"/>
          <w14:textFill>
            <w14:solidFill>
              <w14:schemeClr w14:val="tx1"/>
            </w14:solidFill>
          </w14:textFill>
        </w:rPr>
      </w:pPr>
      <w:bookmarkStart w:id="7" w:name="_Toc60300673"/>
      <w:r>
        <w:rPr>
          <w:rFonts w:hint="eastAsia"/>
          <w:color w:val="000000" w:themeColor="text1"/>
          <w14:textFill>
            <w14:solidFill>
              <w14:schemeClr w14:val="tx1"/>
            </w14:solidFill>
          </w14:textFill>
        </w:rPr>
        <w:t>2.2在校体验</w:t>
      </w:r>
      <w:bookmarkEnd w:id="7"/>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教学、德育管理制度健全，后勤保障有力。教育教学常规管理制度落实到位。整个学校教风好，学风正，学生满意度高。我校按10%比例抽样调查，学生理论学习、专业学习、实习满意度调查情况见下图2-2-1、2-2-2、2-2-3：</w:t>
      </w:r>
    </w:p>
    <w:p>
      <w:pPr>
        <w:jc w:val="center"/>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146550" cy="2721610"/>
            <wp:effectExtent l="0" t="0" r="6350" b="25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asciiTheme="minorEastAsia" w:hAnsiTheme="minorEastAsia"/>
          <w:color w:val="000000" w:themeColor="text1"/>
          <w:sz w:val="28"/>
          <w:szCs w:val="28"/>
          <w14:textFill>
            <w14:solidFill>
              <w14:schemeClr w14:val="tx1"/>
            </w14:solidFill>
          </w14:textFill>
        </w:rPr>
      </w:pPr>
      <w:r>
        <w:rPr>
          <w:color w:val="000000" w:themeColor="text1"/>
          <w:sz w:val="19"/>
          <w14:textFill>
            <w14:solidFill>
              <w14:schemeClr w14:val="tx1"/>
            </w14:solidFill>
          </w14:textFill>
        </w:rPr>
        <w:drawing>
          <wp:inline distT="0" distB="0" distL="0" distR="0">
            <wp:extent cx="4241800" cy="2317750"/>
            <wp:effectExtent l="0" t="0" r="6350" b="63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center"/>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8240" behindDoc="0" locked="0" layoutInCell="1" allowOverlap="1">
            <wp:simplePos x="0" y="0"/>
            <wp:positionH relativeFrom="column">
              <wp:posOffset>504825</wp:posOffset>
            </wp:positionH>
            <wp:positionV relativeFrom="paragraph">
              <wp:posOffset>411480</wp:posOffset>
            </wp:positionV>
            <wp:extent cx="4371975" cy="2324100"/>
            <wp:effectExtent l="0" t="0" r="9525"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ind w:firstLine="560" w:firstLineChars="2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经常开展丰富多彩的校园文化活动，如迎新欢迎晚会、校艺术节、兔子舞比赛、夏季蓝球运动会，冬季田径运动会等文体活动。学校成立了12个社团组织。经抽样调查，学生校园文化与社团活动满意度调查情况如图2-2-4：</w:t>
      </w:r>
    </w:p>
    <w:p>
      <w:pPr>
        <w:jc w:val="center"/>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178300" cy="1934845"/>
            <wp:effectExtent l="0" t="0" r="12700" b="825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建有标准化的学生食堂，硬件标准高，设备设施完善，合同制员工人数多达60余人，生均比1：55人。所有食品都采取招标采购，食堂成立有专门的食品卫生安全领导小组，通过一系列的制度措施保证了食堂的饭菜质量。经抽样调查，学生生活满意度调查情况如图2-2-5：</w:t>
      </w:r>
    </w:p>
    <w:p>
      <w:pPr>
        <w:jc w:val="center"/>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3800475" cy="2133600"/>
            <wp:effectExtent l="0" t="0" r="9525"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一直都把安全工作当作各项工作中的首要任务，安全保障措施得力，安装了有169个摄像头的监控网络，实现校园监控无盲区。安保队伍健全，有专职军事教官13人，保安10名，每天有6名教师参与值日，每天保安和值日教师都是定人员定岗位，实现各区域全覆盖，保证安全监控无死角。经抽样调查，学生安全满意度调查情况如图2-2-6：</w:t>
      </w:r>
    </w:p>
    <w:p>
      <w:pPr>
        <w:jc w:val="center"/>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241800" cy="2130425"/>
            <wp:effectExtent l="0" t="0" r="6350" b="317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学校对学生的培养模式坚持升学和就业两条腿走路，通过设立职教对口高考班让成绩基础较好的学生有机会进入本、专科院校继续深造，对于成绩基础较差，没有办法继续升入高校的学生学校通过校企合作，定单培养等模式保证学生进入企业工作。以上两条道路，是结合当地、学生家庭等实际情况，提出的可支持学生进一步发展的选择。学校教学管理规范，德育管理特色鲜明，就业保障措施得力，我校高考升学率达100%，学生对口就业率达</w:t>
      </w:r>
      <w:r>
        <w:rPr>
          <w:rFonts w:asciiTheme="minorEastAsia" w:hAnsiTheme="minorEastAsia"/>
          <w:color w:val="000000" w:themeColor="text1"/>
          <w:sz w:val="28"/>
          <w:szCs w:val="28"/>
          <w14:textFill>
            <w14:solidFill>
              <w14:schemeClr w14:val="tx1"/>
            </w14:solidFill>
          </w14:textFill>
        </w:rPr>
        <w:t>85%</w:t>
      </w:r>
      <w:r>
        <w:rPr>
          <w:rFonts w:hint="eastAsia" w:asciiTheme="minorEastAsia" w:hAnsiTheme="minorEastAsia"/>
          <w:color w:val="000000" w:themeColor="text1"/>
          <w:sz w:val="28"/>
          <w:szCs w:val="28"/>
          <w14:textFill>
            <w14:solidFill>
              <w14:schemeClr w14:val="tx1"/>
            </w14:solidFill>
          </w14:textFill>
        </w:rPr>
        <w:t xml:space="preserve">，所培养的学生深受高校和企业的好评。经抽样调查，毕业生对学校满意度调查情况如图2-2-7： </w:t>
      </w:r>
    </w:p>
    <w:p>
      <w:pPr>
        <w:ind w:firstLine="570"/>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572000" cy="2413000"/>
            <wp:effectExtent l="0" t="0" r="0" b="635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3"/>
        <w:rPr>
          <w:color w:val="000000" w:themeColor="text1"/>
          <w14:textFill>
            <w14:solidFill>
              <w14:schemeClr w14:val="tx1"/>
            </w14:solidFill>
          </w14:textFill>
        </w:rPr>
      </w:pPr>
      <w:bookmarkStart w:id="8" w:name="_Toc60300674"/>
      <w:r>
        <w:rPr>
          <w:rFonts w:hint="eastAsia"/>
          <w:color w:val="000000" w:themeColor="text1"/>
          <w14:textFill>
            <w14:solidFill>
              <w14:schemeClr w14:val="tx1"/>
            </w14:solidFill>
          </w14:textFill>
        </w:rPr>
        <w:t>2.3资助情况</w:t>
      </w:r>
      <w:bookmarkEnd w:id="8"/>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严格执行国家免学费和助学金政策，学校专门成立了免学费和助学金领导小组，还成立了专门的学生资助管理办公室。制定了《会理现代职校助学金管理办法》和《会理现代职校免学费管理办法》等制度，保证了学生资助工作的正常落实。我校严格按照相关政策及时将国家免学费和助学金发放到学生手中。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-20</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年学校专门针对助建档立卡贫困户实行学费减免，总金额达4</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余万元，保证了贫困家庭学生在我校顺序完成学业。</w:t>
      </w:r>
    </w:p>
    <w:p>
      <w:pPr>
        <w:pStyle w:val="3"/>
        <w:rPr>
          <w:color w:val="000000" w:themeColor="text1"/>
          <w14:textFill>
            <w14:solidFill>
              <w14:schemeClr w14:val="tx1"/>
            </w14:solidFill>
          </w14:textFill>
        </w:rPr>
      </w:pPr>
      <w:bookmarkStart w:id="9" w:name="_Toc60300675"/>
      <w:r>
        <w:rPr>
          <w:rFonts w:hint="eastAsia"/>
          <w:color w:val="000000" w:themeColor="text1"/>
          <w14:textFill>
            <w14:solidFill>
              <w14:schemeClr w14:val="tx1"/>
            </w14:solidFill>
          </w14:textFill>
        </w:rPr>
        <w:t>2.4就业质量</w:t>
      </w:r>
      <w:bookmarkEnd w:id="9"/>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我校长期重视教学质量，长期坚持抓教学质量不放松，确保毕业生质量。同时也主动和企业对接，实现校企尝深度合作，通过订单培养、校企合作等模式保证学生的就业渠道。201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年我校初次就业率达9</w:t>
      </w:r>
      <w:r>
        <w:rPr>
          <w:rFonts w:asciiTheme="minorEastAsia" w:hAnsiTheme="minorEastAsia"/>
          <w:color w:val="000000" w:themeColor="text1"/>
          <w:sz w:val="28"/>
          <w:szCs w:val="28"/>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%，和上年比较略有下降，对口就业率达</w:t>
      </w:r>
      <w:r>
        <w:rPr>
          <w:rFonts w:asciiTheme="minorEastAsia" w:hAnsiTheme="minorEastAsia"/>
          <w:color w:val="000000" w:themeColor="text1"/>
          <w:sz w:val="28"/>
          <w:szCs w:val="28"/>
          <w14:textFill>
            <w14:solidFill>
              <w14:schemeClr w14:val="tx1"/>
            </w14:solidFill>
          </w14:textFill>
        </w:rPr>
        <w:t>92</w:t>
      </w:r>
      <w:r>
        <w:rPr>
          <w:rFonts w:hint="eastAsia" w:asciiTheme="minorEastAsia" w:hAnsiTheme="minorEastAsia"/>
          <w:color w:val="000000" w:themeColor="text1"/>
          <w:sz w:val="28"/>
          <w:szCs w:val="28"/>
          <w14:textFill>
            <w14:solidFill>
              <w14:schemeClr w14:val="tx1"/>
            </w14:solidFill>
          </w14:textFill>
        </w:rPr>
        <w:t>%，比上年有所提高，初次月平均收入达到2500元，和去年比较有较大的提高。</w:t>
      </w:r>
    </w:p>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2-4-4就业升学情况对比表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6"/>
        <w:gridCol w:w="1202"/>
        <w:gridCol w:w="1293"/>
        <w:gridCol w:w="166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6" w:type="dxa"/>
            <w:shd w:val="clear" w:color="auto" w:fill="C6D9F0" w:themeFill="text2" w:themeFillTint="33"/>
            <w:vAlign w:val="center"/>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年度</w:t>
            </w:r>
          </w:p>
        </w:tc>
        <w:tc>
          <w:tcPr>
            <w:tcW w:w="1202" w:type="dxa"/>
            <w:shd w:val="clear" w:color="auto" w:fill="C6D9F0" w:themeFill="text2" w:themeFillTint="33"/>
            <w:vAlign w:val="center"/>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初次就业率</w:t>
            </w:r>
          </w:p>
        </w:tc>
        <w:tc>
          <w:tcPr>
            <w:tcW w:w="1293" w:type="dxa"/>
            <w:shd w:val="clear" w:color="auto" w:fill="C6D9F0" w:themeFill="text2" w:themeFillTint="33"/>
            <w:vAlign w:val="center"/>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对口</w:t>
            </w:r>
          </w:p>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就业率</w:t>
            </w:r>
          </w:p>
        </w:tc>
        <w:tc>
          <w:tcPr>
            <w:tcW w:w="1660" w:type="dxa"/>
            <w:shd w:val="clear" w:color="auto" w:fill="C6D9F0" w:themeFill="text2" w:themeFillTint="33"/>
            <w:vAlign w:val="center"/>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初次就业</w:t>
            </w:r>
          </w:p>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起薪</w:t>
            </w:r>
          </w:p>
        </w:tc>
        <w:tc>
          <w:tcPr>
            <w:tcW w:w="1701" w:type="dxa"/>
            <w:shd w:val="clear" w:color="auto" w:fill="C6D9F0" w:themeFill="text2" w:themeFillTint="33"/>
            <w:vAlign w:val="center"/>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升入高校</w:t>
            </w:r>
          </w:p>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6"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2018-2019</w:t>
            </w:r>
          </w:p>
        </w:tc>
        <w:tc>
          <w:tcPr>
            <w:tcW w:w="1202"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98%</w:t>
            </w:r>
          </w:p>
        </w:tc>
        <w:tc>
          <w:tcPr>
            <w:tcW w:w="1293"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85%</w:t>
            </w:r>
          </w:p>
        </w:tc>
        <w:tc>
          <w:tcPr>
            <w:tcW w:w="1660"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2500</w:t>
            </w:r>
          </w:p>
        </w:tc>
        <w:tc>
          <w:tcPr>
            <w:tcW w:w="1701"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6" w:type="dxa"/>
          </w:tcPr>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w:t>
            </w:r>
            <w:r>
              <w:rPr>
                <w:rFonts w:asciiTheme="minorEastAsia" w:hAnsiTheme="minorEastAsia"/>
                <w:color w:val="000000" w:themeColor="text1"/>
                <w:sz w:val="28"/>
                <w:szCs w:val="28"/>
                <w14:textFill>
                  <w14:solidFill>
                    <w14:schemeClr w14:val="tx1"/>
                  </w14:solidFill>
                </w14:textFill>
              </w:rPr>
              <w:t>019</w:t>
            </w:r>
            <w:r>
              <w:rPr>
                <w:rFonts w:hint="eastAsia" w:asciiTheme="minorEastAsia" w:hAnsiTheme="minorEastAsia"/>
                <w:color w:val="000000" w:themeColor="text1"/>
                <w:sz w:val="28"/>
                <w:szCs w:val="28"/>
                <w14:textFill>
                  <w14:solidFill>
                    <w14:schemeClr w14:val="tx1"/>
                  </w14:solidFill>
                </w14:textFill>
              </w:rPr>
              <w:t>-</w:t>
            </w:r>
            <w:r>
              <w:rPr>
                <w:rFonts w:asciiTheme="minorEastAsia" w:hAnsiTheme="minorEastAsia"/>
                <w:color w:val="000000" w:themeColor="text1"/>
                <w:sz w:val="28"/>
                <w:szCs w:val="28"/>
                <w14:textFill>
                  <w14:solidFill>
                    <w14:schemeClr w14:val="tx1"/>
                  </w14:solidFill>
                </w14:textFill>
              </w:rPr>
              <w:t>2020</w:t>
            </w:r>
          </w:p>
        </w:tc>
        <w:tc>
          <w:tcPr>
            <w:tcW w:w="1202"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9</w:t>
            </w:r>
            <w:r>
              <w:rPr>
                <w:rFonts w:asciiTheme="minorEastAsia" w:hAnsiTheme="minorEastAsia"/>
                <w:color w:val="000000" w:themeColor="text1"/>
                <w:sz w:val="28"/>
                <w:szCs w:val="28"/>
                <w14:textFill>
                  <w14:solidFill>
                    <w14:schemeClr w14:val="tx1"/>
                  </w14:solidFill>
                </w14:textFill>
              </w:rPr>
              <w:t>7%</w:t>
            </w:r>
          </w:p>
        </w:tc>
        <w:tc>
          <w:tcPr>
            <w:tcW w:w="1293"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9</w:t>
            </w:r>
            <w:r>
              <w:rPr>
                <w:rFonts w:asciiTheme="minorEastAsia" w:hAnsiTheme="minorEastAsia"/>
                <w:color w:val="000000" w:themeColor="text1"/>
                <w:sz w:val="28"/>
                <w:szCs w:val="28"/>
                <w14:textFill>
                  <w14:solidFill>
                    <w14:schemeClr w14:val="tx1"/>
                  </w14:solidFill>
                </w14:textFill>
              </w:rPr>
              <w:t>2%</w:t>
            </w:r>
          </w:p>
        </w:tc>
        <w:tc>
          <w:tcPr>
            <w:tcW w:w="1660"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w:t>
            </w:r>
            <w:r>
              <w:rPr>
                <w:rFonts w:asciiTheme="minorEastAsia" w:hAnsiTheme="minorEastAsia"/>
                <w:color w:val="000000" w:themeColor="text1"/>
                <w:sz w:val="28"/>
                <w:szCs w:val="28"/>
                <w14:textFill>
                  <w14:solidFill>
                    <w14:schemeClr w14:val="tx1"/>
                  </w14:solidFill>
                </w14:textFill>
              </w:rPr>
              <w:t>500</w:t>
            </w:r>
          </w:p>
        </w:tc>
        <w:tc>
          <w:tcPr>
            <w:tcW w:w="1701" w:type="dxa"/>
            <w:vAlign w:val="center"/>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50.7%</w:t>
            </w:r>
          </w:p>
        </w:tc>
      </w:tr>
    </w:tbl>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各专业初次就业率、对口就业率基本和上年比较有所提高，变化比较明显的是对口升学率，由于我校长期重视抓高考班教学质量工作，高考升学班升学比例一直比较高，达到了高考总人数的100%，占全级毕业生总数的</w:t>
      </w:r>
      <w:r>
        <w:rPr>
          <w:rFonts w:asciiTheme="minorEastAsia" w:hAnsiTheme="minorEastAsia"/>
          <w:color w:val="000000" w:themeColor="text1"/>
          <w:sz w:val="28"/>
          <w:szCs w:val="28"/>
          <w14:textFill>
            <w14:solidFill>
              <w14:schemeClr w14:val="tx1"/>
            </w14:solidFill>
          </w14:textFill>
        </w:rPr>
        <w:t>50.7</w:t>
      </w:r>
      <w:r>
        <w:rPr>
          <w:rFonts w:hint="eastAsia" w:asciiTheme="minorEastAsia" w:hAnsiTheme="minorEastAsia"/>
          <w:color w:val="000000" w:themeColor="text1"/>
          <w:sz w:val="28"/>
          <w:szCs w:val="28"/>
          <w14:textFill>
            <w14:solidFill>
              <w14:schemeClr w14:val="tx1"/>
            </w14:solidFill>
          </w14:textFill>
        </w:rPr>
        <w:t>%。</w:t>
      </w:r>
    </w:p>
    <w:p>
      <w:pPr>
        <w:pStyle w:val="3"/>
        <w:rPr>
          <w:color w:val="000000" w:themeColor="text1"/>
          <w14:textFill>
            <w14:solidFill>
              <w14:schemeClr w14:val="tx1"/>
            </w14:solidFill>
          </w14:textFill>
        </w:rPr>
      </w:pPr>
      <w:bookmarkStart w:id="10" w:name="_Toc60300676"/>
      <w:r>
        <w:rPr>
          <w:rFonts w:hint="eastAsia"/>
          <w:color w:val="000000" w:themeColor="text1"/>
          <w14:textFill>
            <w14:solidFill>
              <w14:schemeClr w14:val="tx1"/>
            </w14:solidFill>
          </w14:textFill>
        </w:rPr>
        <w:t>2.5职业发展</w:t>
      </w:r>
      <w:bookmarkEnd w:id="10"/>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为确保人才培养质量，一直注重学生综合能力的培养，教学中着力提高学生的综合能力，在平时实训、实习中注重学生岗位适应能力、岗位迁移能力、创新创业能力的培养与训练。经我校实地走访调查，我校升入高校的毕业生普遍得到了高校的认可。去年有</w:t>
      </w:r>
      <w:r>
        <w:rPr>
          <w:rFonts w:asciiTheme="minorEastAsia" w:hAnsiTheme="minorEastAsia"/>
          <w:color w:val="000000" w:themeColor="text1"/>
          <w:sz w:val="28"/>
          <w:szCs w:val="28"/>
          <w14:textFill>
            <w14:solidFill>
              <w14:schemeClr w14:val="tx1"/>
            </w14:solidFill>
          </w14:textFill>
        </w:rPr>
        <w:t>76</w:t>
      </w:r>
      <w:r>
        <w:rPr>
          <w:rFonts w:hint="eastAsia" w:asciiTheme="minorEastAsia" w:hAnsiTheme="minorEastAsia"/>
          <w:color w:val="000000" w:themeColor="text1"/>
          <w:sz w:val="28"/>
          <w:szCs w:val="28"/>
          <w14:textFill>
            <w14:solidFill>
              <w14:schemeClr w14:val="tx1"/>
            </w14:solidFill>
          </w14:textFill>
        </w:rPr>
        <w:t>所左右的高校主动到我校联系高考生源，部分升入专科院校的学生在专科毕业时通过专升本考试进入了本科院校继续深造。进入企业的毕业生都表现出了较强的学习能力、岗位适应能力、岗位迁移能力、创新创业能力。不少毕业生人现在已成为企业管理骨干、业务精英，极少数毕业生通过自主创业有了自己的企业，成为了行业的标杆。</w:t>
      </w:r>
    </w:p>
    <w:p>
      <w:pPr>
        <w:pStyle w:val="2"/>
        <w:rPr>
          <w:color w:val="000000" w:themeColor="text1"/>
          <w14:textFill>
            <w14:solidFill>
              <w14:schemeClr w14:val="tx1"/>
            </w14:solidFill>
          </w14:textFill>
        </w:rPr>
      </w:pPr>
      <w:bookmarkStart w:id="11" w:name="_Toc60300677"/>
      <w:r>
        <w:rPr>
          <w:rFonts w:hint="eastAsia"/>
          <w:color w:val="000000" w:themeColor="text1"/>
          <w14:textFill>
            <w14:solidFill>
              <w14:schemeClr w14:val="tx1"/>
            </w14:solidFill>
          </w14:textFill>
        </w:rPr>
        <w:t>3.质量保障措施</w:t>
      </w:r>
      <w:bookmarkEnd w:id="11"/>
    </w:p>
    <w:p>
      <w:pPr>
        <w:pStyle w:val="3"/>
        <w:rPr>
          <w:color w:val="000000" w:themeColor="text1"/>
          <w14:textFill>
            <w14:solidFill>
              <w14:schemeClr w14:val="tx1"/>
            </w14:solidFill>
          </w14:textFill>
        </w:rPr>
      </w:pPr>
      <w:bookmarkStart w:id="12" w:name="_Toc60300678"/>
      <w:r>
        <w:rPr>
          <w:rFonts w:hint="eastAsia"/>
          <w:color w:val="000000" w:themeColor="text1"/>
          <w14:textFill>
            <w14:solidFill>
              <w14:schemeClr w14:val="tx1"/>
            </w14:solidFill>
          </w14:textFill>
        </w:rPr>
        <w:t>3.1专业动态调整</w:t>
      </w:r>
      <w:bookmarkEnd w:id="12"/>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始终坚持“瞄准市场办专业，根据市场需求调整人才培养方案”的办学原则。为了毕业生能够更好地适应就业市场，我校瞄准市场办专业，积极开展校企合作，继续在机加专业中开办了工业机器人方向，在旅游专业中开办“航空及高铁乘务”方向，采取专业共建，校企联合培养人才的模式。3年来，“工业机器人运用与维护”专业共招生2</w:t>
      </w:r>
      <w:r>
        <w:rPr>
          <w:rFonts w:asciiTheme="minorEastAsia" w:hAnsiTheme="minorEastAsia"/>
          <w:color w:val="000000" w:themeColor="text1"/>
          <w:sz w:val="28"/>
          <w:szCs w:val="28"/>
          <w14:textFill>
            <w14:solidFill>
              <w14:schemeClr w14:val="tx1"/>
            </w14:solidFill>
          </w14:textFill>
        </w:rPr>
        <w:t>02</w:t>
      </w:r>
      <w:r>
        <w:rPr>
          <w:rFonts w:hint="eastAsia" w:asciiTheme="minorEastAsia" w:hAnsiTheme="minorEastAsia"/>
          <w:color w:val="000000" w:themeColor="text1"/>
          <w:sz w:val="28"/>
          <w:szCs w:val="28"/>
          <w14:textFill>
            <w14:solidFill>
              <w14:schemeClr w14:val="tx1"/>
            </w14:solidFill>
          </w14:textFill>
        </w:rPr>
        <w:t>人。“航空及高铁乘务”专业今年招生</w:t>
      </w:r>
      <w:r>
        <w:rPr>
          <w:rFonts w:asciiTheme="minorEastAsia" w:hAnsiTheme="minorEastAsia"/>
          <w:color w:val="000000" w:themeColor="text1"/>
          <w:sz w:val="28"/>
          <w:szCs w:val="28"/>
          <w14:textFill>
            <w14:solidFill>
              <w14:schemeClr w14:val="tx1"/>
            </w14:solidFill>
          </w14:textFill>
        </w:rPr>
        <w:t>47</w:t>
      </w:r>
      <w:r>
        <w:rPr>
          <w:rFonts w:hint="eastAsia" w:asciiTheme="minorEastAsia" w:hAnsiTheme="minorEastAsia"/>
          <w:color w:val="000000" w:themeColor="text1"/>
          <w:sz w:val="28"/>
          <w:szCs w:val="28"/>
          <w14:textFill>
            <w14:solidFill>
              <w14:schemeClr w14:val="tx1"/>
            </w14:solidFill>
          </w14:textFill>
        </w:rPr>
        <w:t>人。通过专业结构调整有效地留住了本地生源，为学校的发展奠定了坚实的基础。</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由于国家产业结构的调整，我校的部分传统专业已经不能更好的适应市场需求。在人才培养方案方面，学校要求各专业每年必须搞一次市场调研，根据市场调研结果及时调整专业课程结构及人才培养方案。以确保我校的毕业能更好地和市场结合，让学生走进企业后很快就能适应由学生到员工的角色转变。</w:t>
      </w:r>
    </w:p>
    <w:p>
      <w:pPr>
        <w:pStyle w:val="3"/>
        <w:rPr>
          <w:color w:val="000000" w:themeColor="text1"/>
          <w14:textFill>
            <w14:solidFill>
              <w14:schemeClr w14:val="tx1"/>
            </w14:solidFill>
          </w14:textFill>
        </w:rPr>
      </w:pPr>
      <w:bookmarkStart w:id="13" w:name="_Toc60300679"/>
      <w:r>
        <w:rPr>
          <w:rFonts w:hint="eastAsia"/>
          <w:color w:val="000000" w:themeColor="text1"/>
          <w14:textFill>
            <w14:solidFill>
              <w14:schemeClr w14:val="tx1"/>
            </w14:solidFill>
          </w14:textFill>
        </w:rPr>
        <w:t>3.2教育教学改革</w:t>
      </w:r>
      <w:bookmarkEnd w:id="13"/>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教学改革是现代职业教育永恒的话题，我校在去年的基础上做了许多积极有益的探索，始终围绕“提高学生核心素养”这个中心话题，在教学课堂实践及实训厂场实践活动中，取得了较好的成绩。</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公共基础课程的教育教学改革做了以下尝试：在教育理念上，以教育信息化带动教育现代化，逐步改革传统的教育观念，尊重学生的不同认知起点，关注学生差异与发展，积极唤起学生主动学习的意识，让学生想学、乐学、会学。在教学内容上，对于就业班合理淡化学科课程特征，删除繁难教学内容，在知识要求上，应当适当降低理论难度，重构学生知识基础，重视内容更新。对于高考班，严格按照考纲要求，开足公共基础课切实保证教学时间。在教学方法上，增加教学活动的设计和安排，采用翻转课堂、微课程、网络课程等形式实施课堂教学，让教学的表现形式更加直观、多元，构建充满活力和生机的课堂。在评价标准上，简化书面考试，结合高考升学特点增加技能考试的比例。逐步试行评价主体多元化，学生、家长甚至企业都可以成为评价方，共同完成对学生的评价，让每个学生都得到应有的发展。</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在专业设置方面，我校“瞄准市场办专业，根据市场需求调整人才培养方案”。学校注重市场调研，每一年某个专业是否继续开办都要求各专业组上交专业论证报告。201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年，我校根据行业发展现状，把目标瞄准了工业机器人和航空地铁广大的就业市场，继续实现工业机器人和航空高铁乘务专业并顺利招生，由于是定单培养，这两个专业方向的学生稳定率达9</w:t>
      </w:r>
      <w:r>
        <w:rPr>
          <w:rFonts w:asciiTheme="minorEastAsia" w:hAnsiTheme="minorEastAsia"/>
          <w:color w:val="000000" w:themeColor="text1"/>
          <w:sz w:val="28"/>
          <w:szCs w:val="28"/>
          <w14:textFill>
            <w14:solidFill>
              <w14:schemeClr w14:val="tx1"/>
            </w14:solidFill>
          </w14:textFill>
        </w:rPr>
        <w:t>8</w:t>
      </w:r>
      <w:r>
        <w:rPr>
          <w:rFonts w:hint="eastAsia" w:asciiTheme="minorEastAsia" w:hAnsiTheme="minorEastAsia"/>
          <w:color w:val="000000" w:themeColor="text1"/>
          <w:sz w:val="28"/>
          <w:szCs w:val="28"/>
          <w14:textFill>
            <w14:solidFill>
              <w14:schemeClr w14:val="tx1"/>
            </w14:solidFill>
          </w14:textFill>
        </w:rPr>
        <w:t>%。</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师资队伍方面，我校结合学校年轻老师比例大的实际，在教师队伍建设中实行“传、帮、带”制度，大多数年轻教师经过几年的培养，已成为各学科、各专业的骨干。通过形式多样，内容丰富的培训，努力提升教师素质。全校师资力量逐步增强，结构日趋合理，基本能够满足目前学校教育教学的工作的需要。</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随着国家经济结构的调整，我校的人才培养模式也在不断变化，不断探索适合经济社会发展的人才培养模式。如：201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年我校进一步与西翔投资开展校企共培的人才培养模式，在我校开办“航空高铁乘务”专业，主要做法：一是由我校和西翔航空学院共同招生。二是由我校、西翔航空、用工企业三方双方共同制定实施性教学计划，共同开发课程体系。三是通过高校和企业派教师和技术人员到我校任教，保证了教学和高校接轨、和企业接轨。</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教育信息化方面，我校投入了大量的人力和物力，保证了我校教育信息化的正常推进。一是硬件保障，学校保证每位老师一人一台办公电脑，每间教室配备电子白板。二是技术保障。学校组织计算机专业的老师分批对全校所有教职员工进行办公软件、计算机网络基础知识、无纸化办公相关、网络阅卷系统知识进行了</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次培训。三是组织学校教师积极参加各级各类网络培训。除参加“中小学信息技术能力提升工程”培训外，会计专业、计算机专业部分教师还参加了行业培训。目前我校老师的信息化教学水平已经走在了我县各级各类学校的前列。</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实训基地是学生学好专业的重要保障。我校目前各专业均建有校内实训基地各1个。计算机校外实训基地3个，电子校外实训基地2个，旅游校外实训基地6个，学前教育校外实训基地12个，会计校外实训基地</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个，农学实训基地3个，建筑校外实训基地3个，机加校外实训基地3个。通过校内外实训基地的建立，保证了我校专业课程教学的教学效果有明显提高。</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教材是教学的重要基础，我校教材大部分以教育部规划的高教社教材为主，其它出版社的教材为辅助，同时结合学校实际使用了一定的校本教材。相对来说我校的教材规范、合理、适用。</w:t>
      </w:r>
    </w:p>
    <w:p>
      <w:pPr>
        <w:ind w:firstLine="57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在国际合作方面是我校是一片空白。由于学校地处西南腹地，学校特色还不够鲜明和学校影响力也不够大，所以在国际合作方面还有没有条件实施。</w:t>
      </w:r>
    </w:p>
    <w:p>
      <w:pPr>
        <w:pStyle w:val="3"/>
        <w:rPr>
          <w:color w:val="000000" w:themeColor="text1"/>
          <w14:textFill>
            <w14:solidFill>
              <w14:schemeClr w14:val="tx1"/>
            </w14:solidFill>
          </w14:textFill>
        </w:rPr>
      </w:pPr>
      <w:bookmarkStart w:id="14" w:name="_Toc60300680"/>
      <w:r>
        <w:rPr>
          <w:rFonts w:hint="eastAsia"/>
          <w:color w:val="000000" w:themeColor="text1"/>
          <w14:textFill>
            <w14:solidFill>
              <w14:schemeClr w14:val="tx1"/>
            </w14:solidFill>
          </w14:textFill>
        </w:rPr>
        <w:t>3.3 教师培养培训</w:t>
      </w:r>
      <w:bookmarkEnd w:id="14"/>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们深知学校要前进，质量要提高，教师队伍是根本的道理。我校一直把师资队伍建设作为学校工作的重点工作。针对我校年轻教师比例过大，有相当部分非师范院校毕业生从教的情况。我校采取了以下措施：第一、积极争取国培、省培名额让更多的教师得到培训。第二、积极和企业联系，送老师到企业培训或实践。第三、学校自培，特别是专业老师，我校坚持每周一次的技能培训，在老师队伍中进行传、帮、带。第四、开展丰富多彩的校本研修活动。以校本研修活动为平台，推行年度校本研修记分制，通过教研量化管理，使教师找到工作中的不足和差距，从而找到努力的方向。</w:t>
      </w:r>
    </w:p>
    <w:p>
      <w:pPr>
        <w:pStyle w:val="3"/>
        <w:rPr>
          <w:color w:val="000000" w:themeColor="text1"/>
          <w14:textFill>
            <w14:solidFill>
              <w14:schemeClr w14:val="tx1"/>
            </w14:solidFill>
          </w14:textFill>
        </w:rPr>
      </w:pPr>
      <w:bookmarkStart w:id="15" w:name="_Toc60300681"/>
      <w:r>
        <w:rPr>
          <w:rFonts w:hint="eastAsia"/>
          <w:color w:val="000000" w:themeColor="text1"/>
          <w14:textFill>
            <w14:solidFill>
              <w14:schemeClr w14:val="tx1"/>
            </w14:solidFill>
          </w14:textFill>
        </w:rPr>
        <w:t>3.4 规范管理情况</w:t>
      </w:r>
      <w:bookmarkEnd w:id="15"/>
    </w:p>
    <w:p>
      <w:pPr>
        <w:ind w:firstLine="548" w:firstLineChars="196"/>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教学管理规范有序。主要是以制度和规范建设为抓手保证教育教学秩序正常进行。第一方面，学校坚决执行原有的教学常规管理制度，保证了学校正常的教育教学秩序。第二方面，在往年的基础上新增3个教学常规检查制度的基础上新增加了《高考班教学管理制度》、保证了教学常规管理制度的正常执行。由于我校完善的制度和规范保证了我校教学管理有章可循，教学奖惩有据可依，真正的体现了用制度管理教学而不是用人管理教学的管理理念。</w:t>
      </w:r>
    </w:p>
    <w:p>
      <w:pPr>
        <w:ind w:firstLine="548" w:firstLineChars="196"/>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学生管理、安全管理人员充足、制度健全、措施得力。学校女生配备专职宿管10名、男生配备军事教官兼宿管理13名，专业保安10名保证了各时段各区域监控管理无盲区。同时我校制定了《教师值日制度》为学生管理的提供了强有力的制度保障。通过学校行政、教师值日，配合教官、保安、宿管加强了学生的日常管理，我校环境卫生、学生遵守纪律情况都受到了各级主管部门的一致好评。建校以来我校从未出现安全责任事故，学生在校安全感强，深受社会的好评。</w:t>
      </w:r>
    </w:p>
    <w:p>
      <w:pPr>
        <w:ind w:firstLine="548" w:firstLineChars="196"/>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财务和后勤管理制度健全，规范合理。由于我校是集团化办学，我校执行的是标准的企业会计制度，在资金安全，规范收费等方面都是非常严谨。收费都是执行国家标准，在助学金、免学费资金管理更是严格按国家要求执行，都是按时足额发放到学生手中。经过省、州、县各级管理部门多次检查都未出现任何问题。在后勤管理中，学校坚持后勤保障是搞好教育教学工作的前提的宗旨。后勤部门以一系列的制度、措施为教学一线服务。通过后勤部门通力协作，学校教育教学工作得以顺利进行。</w:t>
      </w:r>
    </w:p>
    <w:p>
      <w:pPr>
        <w:ind w:firstLine="548" w:firstLineChars="196"/>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教研管理方面，我校有专门的教科室和专门的管理团队保证学校教科研工作的正常进行。我校制定了比较有特色的教育科研奖励考核方案，以制度的形式保证教科研工作的顺得推进。由于前年的八个省州县课题均未结题，为保证科研质量今年我校没有再申报新的科研课题。</w:t>
      </w:r>
    </w:p>
    <w:p>
      <w:pPr>
        <w:ind w:firstLine="548" w:firstLineChars="196"/>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由于我校信息化建设水平较高，硬件设施投入到位，软件也逐步完善。所以在管理信息化方面我校也体现出了较高的水平。今年我校升级了网络阅卷平台，简化了改卷流程，提高了工作效率，受到了老师的好评。目前，我校面已经开始向无纸化办公方向过渡，随着信息化软件建设的不断深入，我校的管理信息化水平会已走在了同类学校的全列。</w:t>
      </w:r>
    </w:p>
    <w:p>
      <w:pPr>
        <w:pStyle w:val="3"/>
        <w:rPr>
          <w:color w:val="000000" w:themeColor="text1"/>
          <w14:textFill>
            <w14:solidFill>
              <w14:schemeClr w14:val="tx1"/>
            </w14:solidFill>
          </w14:textFill>
        </w:rPr>
      </w:pPr>
      <w:bookmarkStart w:id="16" w:name="_Toc60300682"/>
      <w:r>
        <w:rPr>
          <w:rFonts w:hint="eastAsia"/>
          <w:color w:val="000000" w:themeColor="text1"/>
          <w14:textFill>
            <w14:solidFill>
              <w14:schemeClr w14:val="tx1"/>
            </w14:solidFill>
          </w14:textFill>
        </w:rPr>
        <w:t>3.5 德育工作情况</w:t>
      </w:r>
      <w:bookmarkEnd w:id="16"/>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德育管理秉承陶行知先生“先学做人，再学做事”的教育理论，坚持“做人为本，德育为首”的办学思想，以使学生成为“在家庭是位好成员，在企业是位好员工，在社会是个好公民”为培养目标，整系统、全方位、多渠道强化德育管理工作：</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首先是强化安全管理，确保学生平安、健康成长。学校针对当今社会文化多元化，青少年易受外界不良影响的实际，强化学生的法制、网络安全、心理健康、禁毒防艾等方面的教育，使学生树立正确的道德、法制观念。同时实行半军事化、封闭管理，采用分时段、分区域，定人员、定岗位的全员安全管理模式，杜绝校园内安全管理盲区，减少学生外出受不良影响的机会，确保学生健康、平安成长。</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其次是注重品行教育、强化品行养成，使学生成为好儿女、好员工、好公民。学校除按常规发挥好课堂德育主阵地的作用外，充分挖掘教育资源，让学生时时受教育，处处受熏陶，在潜移默化中养成良好的品行。一是坚持每周一主题的升旗教育活动，采取学生代表演讲，值日领导点评深化，班主任结合本班实际强化落实的方式，对学生开展行之有效的教育；二是坚持一月一大主题的班级教育活动，让学生在每一阶段的思想认识不断提高，不良行为习惯不断改变；三是坚持每天课间操会值日领导不少于五分钟的点评教育，让学生细小的不良行为习惯得到及时矫正；四是充分发挥榜样的教育作用，坚持每年一次的“三好学生”，“学业优秀学生、学业成绩进步特大学生”“优秀学生干部”等评选表彰活动，让学生以百分之三十左右的获奖学生为榜样，激励学生良好品行的养成。五是优化、美化校园环境，让学生在校园文化中受到感染和熏陶。让名言出声，让成功人士激励，让洁净优美的环境说话，学生无处不受感染，无时不受熏陶。</w:t>
      </w:r>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再次是为学生搭建成长平台，让学生重拾自信，迈向成功的人生。学校从中职学生受挫多、获得赞赏少、成功体验少而失去自信的实际出发，千方百计地为学生搭建成长平台，让学生在成功中体验快乐，重拾自信，迈向成功人生。学校依据美国心理学家霍华德.加德纳的多元智能理论，坚信每一个学生“天生其人必有才，天生其才必有用”，以丰富多彩的课外活动和第二课堂为载体，发现学生特长，培养学生特长。开设跆拳道、合唱、礼仪、书法、健美操、动漫、绘画、器乐等十余个第二课堂培训班；在各种节日时为学生提供展示艺术才能的平台；通过经常开展的体育比赛活动为学生提供展示体育特长的空间；指导并组织学生参加各种才艺大赛等。学生在自己的特长方面获得成功，从成功中找回久违的自信，从而走向成功的人生。</w:t>
      </w:r>
    </w:p>
    <w:p>
      <w:pPr>
        <w:pStyle w:val="3"/>
        <w:rPr>
          <w:color w:val="000000" w:themeColor="text1"/>
          <w14:textFill>
            <w14:solidFill>
              <w14:schemeClr w14:val="tx1"/>
            </w14:solidFill>
          </w14:textFill>
        </w:rPr>
      </w:pPr>
      <w:bookmarkStart w:id="17" w:name="_Toc60300683"/>
      <w:r>
        <w:rPr>
          <w:rFonts w:hint="eastAsia"/>
          <w:color w:val="000000" w:themeColor="text1"/>
          <w14:textFill>
            <w14:solidFill>
              <w14:schemeClr w14:val="tx1"/>
            </w14:solidFill>
          </w14:textFill>
        </w:rPr>
        <w:t>3.6党建情况</w:t>
      </w:r>
      <w:bookmarkEnd w:id="17"/>
    </w:p>
    <w:p>
      <w:pPr>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一年来，学校党总支在会理县“两新”工委和教育工委的正确领导下，在总支及各支部的共同努力下，学校党总支以“十九届五中全全”精神为指导，认真贯彻落实习近平系列讲话及习近平治国理政新思想新理念。坚持党要管党、从严治党的方针，坚持执行中央“八项规定”，树牢宗旨意识、群众意识，切实为广大师生办实事、解难事、做好事，大力弘扬理论联系实际、密切联系群众和艰苦奋斗的作风，坚持求真务实、谦虚谨慎；自觉遵守党章和各项规章制度，自觉接受监督，树立爱岗敬业、有信念、有担当、为人民服务、勤政务实的良好人民教师形象，充分发挥组织的战斗堡垒作用和党员的先锋模范作用，较好地完成党建工作各项任务。20</w:t>
      </w:r>
      <w:r>
        <w:rPr>
          <w:color w:val="000000" w:themeColor="text1"/>
          <w:sz w:val="28"/>
          <w:szCs w:val="28"/>
          <w14:textFill>
            <w14:solidFill>
              <w14:schemeClr w14:val="tx1"/>
            </w14:solidFill>
          </w14:textFill>
        </w:rPr>
        <w:t>20</w:t>
      </w:r>
      <w:r>
        <w:rPr>
          <w:rFonts w:hint="eastAsia"/>
          <w:color w:val="000000" w:themeColor="text1"/>
          <w:sz w:val="28"/>
          <w:szCs w:val="28"/>
          <w14:textFill>
            <w14:solidFill>
              <w14:schemeClr w14:val="tx1"/>
            </w14:solidFill>
          </w14:textFill>
        </w:rPr>
        <w:t>年荣获会理县委“红旗支部”荣誉称号。</w:t>
      </w:r>
    </w:p>
    <w:p>
      <w:pPr>
        <w:pStyle w:val="2"/>
        <w:rPr>
          <w:color w:val="000000" w:themeColor="text1"/>
          <w14:textFill>
            <w14:solidFill>
              <w14:schemeClr w14:val="tx1"/>
            </w14:solidFill>
          </w14:textFill>
        </w:rPr>
      </w:pPr>
      <w:bookmarkStart w:id="18" w:name="_Toc60300684"/>
      <w:r>
        <w:rPr>
          <w:rFonts w:hint="eastAsia"/>
          <w:color w:val="000000" w:themeColor="text1"/>
          <w14:textFill>
            <w14:solidFill>
              <w14:schemeClr w14:val="tx1"/>
            </w14:solidFill>
          </w14:textFill>
        </w:rPr>
        <w:t>4.校企合作</w:t>
      </w:r>
      <w:bookmarkEnd w:id="18"/>
    </w:p>
    <w:p>
      <w:pPr>
        <w:pStyle w:val="3"/>
        <w:rPr>
          <w:color w:val="000000" w:themeColor="text1"/>
          <w14:textFill>
            <w14:solidFill>
              <w14:schemeClr w14:val="tx1"/>
            </w14:solidFill>
          </w14:textFill>
        </w:rPr>
      </w:pPr>
      <w:bookmarkStart w:id="19" w:name="_Toc60300685"/>
      <w:r>
        <w:rPr>
          <w:rFonts w:hint="eastAsia"/>
          <w:color w:val="000000" w:themeColor="text1"/>
          <w14:textFill>
            <w14:solidFill>
              <w14:schemeClr w14:val="tx1"/>
            </w14:solidFill>
          </w14:textFill>
        </w:rPr>
        <w:t>4.1校企合作开展情况和效果</w:t>
      </w:r>
      <w:bookmarkEnd w:id="19"/>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虽然我校多数专业都在转型，不少学生升学意识也较强，都进入了高考班。但还是有一部分学生的目的始终是中职毕业后进入社会就业。学校10个专业都和不同的企业进行了不同层次的校企合作。签订了校企合作协议的企业达</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2家。201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年我校实习、就业学生共</w:t>
      </w:r>
      <w:r>
        <w:rPr>
          <w:rFonts w:asciiTheme="minorEastAsia" w:hAnsiTheme="minorEastAsia"/>
          <w:color w:val="000000" w:themeColor="text1"/>
          <w:sz w:val="28"/>
          <w:szCs w:val="28"/>
          <w14:textFill>
            <w14:solidFill>
              <w14:schemeClr w14:val="tx1"/>
            </w14:solidFill>
          </w14:textFill>
        </w:rPr>
        <w:t>468</w:t>
      </w:r>
      <w:r>
        <w:rPr>
          <w:rFonts w:hint="eastAsia" w:asciiTheme="minorEastAsia" w:hAnsiTheme="minorEastAsia"/>
          <w:color w:val="000000" w:themeColor="text1"/>
          <w:sz w:val="28"/>
          <w:szCs w:val="28"/>
          <w14:textFill>
            <w14:solidFill>
              <w14:schemeClr w14:val="tx1"/>
            </w14:solidFill>
          </w14:textFill>
        </w:rPr>
        <w:t>余人，而各企业的岗位需求达到1</w:t>
      </w:r>
      <w:r>
        <w:rPr>
          <w:rFonts w:asciiTheme="minorEastAsia" w:hAnsiTheme="minorEastAsia"/>
          <w:color w:val="000000" w:themeColor="text1"/>
          <w:sz w:val="28"/>
          <w:szCs w:val="28"/>
          <w14:textFill>
            <w14:solidFill>
              <w14:schemeClr w14:val="tx1"/>
            </w14:solidFill>
          </w14:textFill>
        </w:rPr>
        <w:t>0</w:t>
      </w:r>
      <w:r>
        <w:rPr>
          <w:rFonts w:hint="eastAsia" w:asciiTheme="minorEastAsia" w:hAnsiTheme="minorEastAsia"/>
          <w:color w:val="000000" w:themeColor="text1"/>
          <w:sz w:val="28"/>
          <w:szCs w:val="28"/>
          <w14:textFill>
            <w14:solidFill>
              <w14:schemeClr w14:val="tx1"/>
            </w14:solidFill>
          </w14:textFill>
        </w:rPr>
        <w:t>00人，我校的人才供应出现了供不就应求的局面。最令人高兴的是我校今年和西翔航空学院进行了深层次合作，开始了第三年招生，超额完成计划招生</w:t>
      </w:r>
      <w:r>
        <w:rPr>
          <w:rFonts w:asciiTheme="minorEastAsia" w:hAnsiTheme="minorEastAsia"/>
          <w:color w:val="000000" w:themeColor="text1"/>
          <w:sz w:val="28"/>
          <w:szCs w:val="28"/>
          <w14:textFill>
            <w14:solidFill>
              <w14:schemeClr w14:val="tx1"/>
            </w14:solidFill>
          </w14:textFill>
        </w:rPr>
        <w:t>15</w:t>
      </w:r>
      <w:r>
        <w:rPr>
          <w:rFonts w:hint="eastAsia" w:asciiTheme="minorEastAsia" w:hAnsiTheme="minorEastAsia"/>
          <w:color w:val="000000" w:themeColor="text1"/>
          <w:sz w:val="28"/>
          <w:szCs w:val="28"/>
          <w14:textFill>
            <w14:solidFill>
              <w14:schemeClr w14:val="tx1"/>
            </w14:solidFill>
          </w14:textFill>
        </w:rPr>
        <w:t>人，达到航空高铁专业班招生</w:t>
      </w:r>
      <w:r>
        <w:rPr>
          <w:rFonts w:asciiTheme="minorEastAsia" w:hAnsiTheme="minorEastAsia"/>
          <w:color w:val="000000" w:themeColor="text1"/>
          <w:sz w:val="28"/>
          <w:szCs w:val="28"/>
          <w14:textFill>
            <w14:solidFill>
              <w14:schemeClr w14:val="tx1"/>
            </w14:solidFill>
          </w14:textFill>
        </w:rPr>
        <w:t>45</w:t>
      </w:r>
      <w:r>
        <w:rPr>
          <w:rFonts w:hint="eastAsia" w:asciiTheme="minorEastAsia" w:hAnsiTheme="minorEastAsia"/>
          <w:color w:val="000000" w:themeColor="text1"/>
          <w:sz w:val="28"/>
          <w:szCs w:val="28"/>
          <w14:textFill>
            <w14:solidFill>
              <w14:schemeClr w14:val="tx1"/>
            </w14:solidFill>
          </w14:textFill>
        </w:rPr>
        <w:t>人，通过校校合作，校企合作实现学校办学高起点，新高度。通过一系列的合作，学生根据自身实际情况选择就业，还是升学都能实现就业有企业保障，升学有高校作为后盾，达到了就业升学两不误。</w:t>
      </w:r>
    </w:p>
    <w:p>
      <w:pPr>
        <w:pStyle w:val="3"/>
        <w:rPr>
          <w:color w:val="000000" w:themeColor="text1"/>
          <w14:textFill>
            <w14:solidFill>
              <w14:schemeClr w14:val="tx1"/>
            </w14:solidFill>
          </w14:textFill>
        </w:rPr>
      </w:pPr>
      <w:bookmarkStart w:id="20" w:name="_Toc60300686"/>
      <w:r>
        <w:rPr>
          <w:rFonts w:hint="eastAsia"/>
          <w:color w:val="000000" w:themeColor="text1"/>
          <w14:textFill>
            <w14:solidFill>
              <w14:schemeClr w14:val="tx1"/>
            </w14:solidFill>
          </w14:textFill>
        </w:rPr>
        <w:t>4.2 学生实习情况</w:t>
      </w:r>
      <w:bookmarkEnd w:id="20"/>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随着校企合作的进一步深入，虽然各中职校学生就业情况由于受经济下行压力都有不同程度的影响，但我校的实习就业形势较好。我校学生就业呈现出的全是学生的选择企业的局面。现在我校的实习生选择实习岗位先是看发展前景广、员工福利好、管理规范、专业对口的企业。在我校进行的学生实习考核中中，企业评价优秀率占</w:t>
      </w: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，满意占</w:t>
      </w:r>
      <w:r>
        <w:rPr>
          <w:rFonts w:asciiTheme="minorEastAsia" w:hAnsiTheme="minorEastAsia"/>
          <w:color w:val="000000" w:themeColor="text1"/>
          <w:sz w:val="28"/>
          <w:szCs w:val="28"/>
          <w14:textFill>
            <w14:solidFill>
              <w14:schemeClr w14:val="tx1"/>
            </w14:solidFill>
          </w14:textFill>
        </w:rPr>
        <w:t>75%</w:t>
      </w:r>
      <w:r>
        <w:rPr>
          <w:rFonts w:hint="eastAsia" w:asciiTheme="minorEastAsia" w:hAnsiTheme="minorEastAsia"/>
          <w:color w:val="000000" w:themeColor="text1"/>
          <w:sz w:val="28"/>
          <w:szCs w:val="28"/>
          <w14:textFill>
            <w14:solidFill>
              <w14:schemeClr w14:val="tx1"/>
            </w14:solidFill>
          </w14:textFill>
        </w:rPr>
        <w:t>，基本满意占1</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%，不满意占</w:t>
      </w: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w:t>
      </w:r>
    </w:p>
    <w:p>
      <w:pPr>
        <w:pStyle w:val="3"/>
        <w:rPr>
          <w:color w:val="000000" w:themeColor="text1"/>
          <w14:textFill>
            <w14:solidFill>
              <w14:schemeClr w14:val="tx1"/>
            </w14:solidFill>
          </w14:textFill>
        </w:rPr>
      </w:pPr>
      <w:bookmarkStart w:id="21" w:name="_Toc60300687"/>
      <w:r>
        <w:rPr>
          <w:rFonts w:hint="eastAsia"/>
          <w:color w:val="000000" w:themeColor="text1"/>
          <w14:textFill>
            <w14:solidFill>
              <w14:schemeClr w14:val="tx1"/>
            </w14:solidFill>
          </w14:textFill>
        </w:rPr>
        <w:t>4.3 集团化办学情况</w:t>
      </w:r>
      <w:bookmarkEnd w:id="21"/>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从建校就是集团化办学的产物，四川现代教育集团旗下目前有从幼儿园到专科的10个教育单位。集团内中职类学校就有5所，其中中江职中是全四川省唯一的一所民办国家级示范性中等职业学校。我校有今天的成就就是由办学之初的复制中江模式到最近五年的自主创新所获得的。另外，我校还加入了成都旅游职教集团，四川财经职教集团，四川农科职教集团，攀枝花现代服务职教集团。集团化办学模式给我校带来诸多的好处，如：信息共享容易、资源共享更方便、经验推广更快捷。可以说我校在</w:t>
      </w: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年时间内发展到今天这种程度，集团化办学让我校少走了不少湾路。</w:t>
      </w:r>
    </w:p>
    <w:p>
      <w:pPr>
        <w:pStyle w:val="2"/>
        <w:rPr>
          <w:color w:val="000000" w:themeColor="text1"/>
          <w14:textFill>
            <w14:solidFill>
              <w14:schemeClr w14:val="tx1"/>
            </w14:solidFill>
          </w14:textFill>
        </w:rPr>
      </w:pPr>
      <w:bookmarkStart w:id="22" w:name="_Toc60300688"/>
      <w:r>
        <w:rPr>
          <w:rFonts w:hint="eastAsia"/>
          <w:color w:val="000000" w:themeColor="text1"/>
          <w14:textFill>
            <w14:solidFill>
              <w14:schemeClr w14:val="tx1"/>
            </w14:solidFill>
          </w14:textFill>
        </w:rPr>
        <w:t>5.社会贡献</w:t>
      </w:r>
      <w:bookmarkEnd w:id="22"/>
    </w:p>
    <w:p>
      <w:pPr>
        <w:pStyle w:val="3"/>
        <w:rPr>
          <w:color w:val="000000" w:themeColor="text1"/>
          <w14:textFill>
            <w14:solidFill>
              <w14:schemeClr w14:val="tx1"/>
            </w14:solidFill>
          </w14:textFill>
        </w:rPr>
      </w:pPr>
      <w:bookmarkStart w:id="23" w:name="_Toc60300689"/>
      <w:r>
        <w:rPr>
          <w:rFonts w:hint="eastAsia"/>
          <w:color w:val="000000" w:themeColor="text1"/>
          <w14:textFill>
            <w14:solidFill>
              <w14:schemeClr w14:val="tx1"/>
            </w14:solidFill>
          </w14:textFill>
        </w:rPr>
        <w:t>5.1技术技能人才培养</w:t>
      </w:r>
      <w:bookmarkEnd w:id="23"/>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从建校至今已经为省内外企业和高校培养了10000余名的优秀学生和实用技术人才。部分学生在各企业已经成为骨干、精英。在县域经济发展中，我校培养的技术人才更是发挥出了生要作用。目前，我县烟草系统、县内矿山企业、建筑行业、各专业合作社不少技术骨干、管理人员都是我校的毕业生。经我校在用人单位对我校学生的满意度抽样调查显示情况如图5-1-1。</w:t>
      </w:r>
    </w:p>
    <w:p>
      <w:pPr>
        <w:ind w:firstLine="420" w:firstLineChars="200"/>
        <w:rPr>
          <w:rFonts w:asciiTheme="minorEastAsia" w:hAnsiTheme="minorEastAsia"/>
          <w:color w:val="000000" w:themeColor="text1"/>
          <w:sz w:val="28"/>
          <w:szCs w:val="28"/>
          <w14:textFill>
            <w14:solidFill>
              <w14:schemeClr w14:val="tx1"/>
            </w14:solidFill>
          </w14:textFill>
        </w:rPr>
      </w:pPr>
      <w:r>
        <w:rPr>
          <w:color w:val="000000" w:themeColor="text1"/>
          <w14:textFill>
            <w14:solidFill>
              <w14:schemeClr w14:val="tx1"/>
            </w14:solidFill>
          </w14:textFill>
        </w:rPr>
        <w:drawing>
          <wp:inline distT="0" distB="0" distL="0" distR="0">
            <wp:extent cx="4572000" cy="2113280"/>
            <wp:effectExtent l="0" t="0" r="0" b="127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3"/>
        <w:rPr>
          <w:color w:val="000000" w:themeColor="text1"/>
          <w14:textFill>
            <w14:solidFill>
              <w14:schemeClr w14:val="tx1"/>
            </w14:solidFill>
          </w14:textFill>
        </w:rPr>
      </w:pPr>
      <w:bookmarkStart w:id="24" w:name="_Toc60300690"/>
      <w:r>
        <w:rPr>
          <w:rFonts w:hint="eastAsia"/>
          <w:color w:val="000000" w:themeColor="text1"/>
          <w14:textFill>
            <w14:solidFill>
              <w14:schemeClr w14:val="tx1"/>
            </w14:solidFill>
          </w14:textFill>
        </w:rPr>
        <w:t>5.2社会服务</w:t>
      </w:r>
      <w:bookmarkEnd w:id="24"/>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我校是一所中职校，同时还是会理县职教中心，职教中心充分体现社会责任感，一年来为县域经济的发展开展了多种培训服务及技术服务。共计培训各类人员</w:t>
      </w:r>
      <w:r>
        <w:rPr>
          <w:rFonts w:asciiTheme="minorEastAsia" w:hAnsiTheme="minorEastAsia"/>
          <w:color w:val="000000" w:themeColor="text1"/>
          <w:sz w:val="28"/>
          <w:szCs w:val="28"/>
          <w14:textFill>
            <w14:solidFill>
              <w14:schemeClr w14:val="tx1"/>
            </w14:solidFill>
          </w14:textFill>
        </w:rPr>
        <w:t>650</w:t>
      </w:r>
      <w:r>
        <w:rPr>
          <w:rFonts w:hint="eastAsia" w:asciiTheme="minorEastAsia" w:hAnsiTheme="minorEastAsia"/>
          <w:color w:val="000000" w:themeColor="text1"/>
          <w:sz w:val="28"/>
          <w:szCs w:val="28"/>
          <w14:textFill>
            <w14:solidFill>
              <w14:schemeClr w14:val="tx1"/>
            </w14:solidFill>
          </w14:textFill>
        </w:rPr>
        <w:t>人。培训情况见表5-2-1：</w:t>
      </w:r>
    </w:p>
    <w:p>
      <w:pPr>
        <w:ind w:firstLine="560" w:firstLineChars="200"/>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表5-2-1对外培训统计表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8"/>
        <w:gridCol w:w="2744"/>
      </w:tblGrid>
      <w:tr>
        <w:tblPrEx>
          <w:tblCellMar>
            <w:top w:w="0" w:type="dxa"/>
            <w:left w:w="108" w:type="dxa"/>
            <w:bottom w:w="0" w:type="dxa"/>
            <w:right w:w="108" w:type="dxa"/>
          </w:tblCellMar>
        </w:tblPrEx>
        <w:tc>
          <w:tcPr>
            <w:tcW w:w="5778" w:type="dxa"/>
            <w:shd w:val="clear" w:color="auto" w:fill="C6D9F0" w:themeFill="text2" w:themeFillTint="33"/>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培训项目</w:t>
            </w:r>
          </w:p>
        </w:tc>
        <w:tc>
          <w:tcPr>
            <w:tcW w:w="2744" w:type="dxa"/>
            <w:shd w:val="clear" w:color="auto" w:fill="C6D9F0" w:themeFill="text2" w:themeFillTint="33"/>
          </w:tcPr>
          <w:p>
            <w:pPr>
              <w:jc w:val="cente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培训人数（人）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新型职业农民培训（种养殖服务）</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企业新进员工岗前培训班</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50</w:t>
            </w:r>
            <w:r>
              <w:rPr>
                <w:rFonts w:asciiTheme="minorEastAsia" w:hAnsiTheme="minorEastAsia"/>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会理县农药经营人员从业资格培训</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会理县新型农民素质提升及“双带能人”培训</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 xml:space="preserve">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企业员工礼仪素质提升</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10</w:t>
            </w:r>
            <w:r>
              <w:rPr>
                <w:rFonts w:hint="eastAsia" w:asciiTheme="minorEastAsia" w:hAnsiTheme="minorEastAsia"/>
                <w:color w:val="000000" w:themeColor="text1"/>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会理县民政局村（社区）干部</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 xml:space="preserve">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tcPr>
          <w:p>
            <w:pPr>
              <w:jc w:val="cente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合计</w:t>
            </w:r>
          </w:p>
        </w:tc>
        <w:tc>
          <w:tcPr>
            <w:tcW w:w="2744" w:type="dxa"/>
          </w:tcPr>
          <w:p>
            <w:pPr>
              <w:jc w:val="center"/>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650</w:t>
            </w:r>
          </w:p>
        </w:tc>
      </w:tr>
    </w:tbl>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我校还多次参与县级各部门承办大型科技扶贫活动，提供人才技术服务100余人次。对我校的定点对口扶贫村提供技术服务20余人次。</w:t>
      </w:r>
    </w:p>
    <w:p>
      <w:pPr>
        <w:pStyle w:val="3"/>
        <w:rPr>
          <w:color w:val="000000" w:themeColor="text1"/>
          <w14:textFill>
            <w14:solidFill>
              <w14:schemeClr w14:val="tx1"/>
            </w14:solidFill>
          </w14:textFill>
        </w:rPr>
      </w:pPr>
      <w:bookmarkStart w:id="25" w:name="_Toc60300691"/>
      <w:r>
        <w:rPr>
          <w:rFonts w:hint="eastAsia"/>
          <w:color w:val="000000" w:themeColor="text1"/>
          <w14:textFill>
            <w14:solidFill>
              <w14:schemeClr w14:val="tx1"/>
            </w14:solidFill>
          </w14:textFill>
        </w:rPr>
        <w:t>5.3对口支援</w:t>
      </w:r>
      <w:bookmarkEnd w:id="25"/>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校际帮扶方面，来我校考察的学校都是尽力支持，2019年会东县职业技术学校第四次到我校就教育教学管理、专业建设、人才培养模式等方面向我校“取经“。我校都是毫无保留地提供经验和资料，得到了兄弟学校的一致好评。</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在精准扶贫工作，上级安排我校对口帮扶黎溪镇咩嘟咕村。2018-20</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年，我校投入了近</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万元回购该村成品羊5只，滞销水果</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000余斤，解决了贫困户农产品买不出去的后顾之忧，同时也使贫困户看到了“劳动致富”的希望。我校还专门为该村举办了种养殖实用技术培训班，经营让该村农户掌握最新的种植、养殖、多种经营方面的技术，目前，该村11户建档立卡贫困户已</w:t>
      </w:r>
      <w:r>
        <w:rPr>
          <w:rFonts w:asciiTheme="minorEastAsia" w:hAnsiTheme="minorEastAsia"/>
          <w:color w:val="000000" w:themeColor="text1"/>
          <w:sz w:val="28"/>
          <w:szCs w:val="28"/>
          <w14:textFill>
            <w14:solidFill>
              <w14:schemeClr w14:val="tx1"/>
            </w14:solidFill>
          </w14:textFill>
        </w:rPr>
        <w:t>100</w:t>
      </w:r>
      <w:r>
        <w:rPr>
          <w:rFonts w:hint="eastAsia" w:asciiTheme="minorEastAsia" w:hAnsiTheme="minorEastAsia"/>
          <w:color w:val="000000" w:themeColor="text1"/>
          <w:sz w:val="28"/>
          <w:szCs w:val="28"/>
          <w14:textFill>
            <w14:solidFill>
              <w14:schemeClr w14:val="tx1"/>
            </w14:solidFill>
          </w14:textFill>
        </w:rPr>
        <w:t>%实现脱贫摘帽。帮扶效果好，深受该村群众的好评。</w:t>
      </w:r>
    </w:p>
    <w:p>
      <w:pPr>
        <w:pStyle w:val="2"/>
        <w:rPr>
          <w:color w:val="000000" w:themeColor="text1"/>
          <w14:textFill>
            <w14:solidFill>
              <w14:schemeClr w14:val="tx1"/>
            </w14:solidFill>
          </w14:textFill>
        </w:rPr>
      </w:pPr>
      <w:bookmarkStart w:id="26" w:name="_Toc60300692"/>
      <w:r>
        <w:rPr>
          <w:rFonts w:hint="eastAsia"/>
          <w:color w:val="000000" w:themeColor="text1"/>
          <w14:textFill>
            <w14:solidFill>
              <w14:schemeClr w14:val="tx1"/>
            </w14:solidFill>
          </w14:textFill>
        </w:rPr>
        <w:t>6.举办者履责</w:t>
      </w:r>
      <w:bookmarkEnd w:id="26"/>
    </w:p>
    <w:p>
      <w:pPr>
        <w:pStyle w:val="3"/>
        <w:rPr>
          <w:color w:val="000000" w:themeColor="text1"/>
          <w14:textFill>
            <w14:solidFill>
              <w14:schemeClr w14:val="tx1"/>
            </w14:solidFill>
          </w14:textFill>
        </w:rPr>
      </w:pPr>
      <w:bookmarkStart w:id="27" w:name="_Toc60300693"/>
      <w:r>
        <w:rPr>
          <w:rFonts w:hint="eastAsia"/>
          <w:color w:val="000000" w:themeColor="text1"/>
          <w14:textFill>
            <w14:solidFill>
              <w14:schemeClr w14:val="tx1"/>
            </w14:solidFill>
          </w14:textFill>
        </w:rPr>
        <w:t>6.1经费</w:t>
      </w:r>
      <w:bookmarkEnd w:id="27"/>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在政策性经费方面，各级各部门都是及时将免学费补助、中职助学金，我校也是及时发放到学生手中，县政府每年按时将教育附加费的30%足额拨付到我校帐户，用于学校设备设施的新增与改造等。我校是民办学校，没有财政性公用经费，所有经费都是由四川现代教育集团拨付，201</w:t>
      </w:r>
      <w:r>
        <w:rPr>
          <w:rFonts w:asciiTheme="minorEastAsia" w:hAnsiTheme="minorEastAsia"/>
          <w:color w:val="000000" w:themeColor="text1"/>
          <w:sz w:val="28"/>
          <w:szCs w:val="28"/>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-20</w:t>
      </w:r>
      <w:r>
        <w:rPr>
          <w:rFonts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年生均拨款数2</w:t>
      </w:r>
      <w:r>
        <w:rPr>
          <w:rFonts w:asciiTheme="minorEastAsia" w:hAnsiTheme="minorEastAsia"/>
          <w:color w:val="000000" w:themeColor="text1"/>
          <w:sz w:val="28"/>
          <w:szCs w:val="28"/>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00元，充分保证了学校教育教学秩序的正常开展。</w:t>
      </w:r>
    </w:p>
    <w:p>
      <w:pPr>
        <w:pStyle w:val="3"/>
        <w:rPr>
          <w:color w:val="000000" w:themeColor="text1"/>
          <w14:textFill>
            <w14:solidFill>
              <w14:schemeClr w14:val="tx1"/>
            </w14:solidFill>
          </w14:textFill>
        </w:rPr>
      </w:pPr>
      <w:bookmarkStart w:id="28" w:name="_Toc60300694"/>
      <w:r>
        <w:rPr>
          <w:rFonts w:hint="eastAsia"/>
          <w:color w:val="000000" w:themeColor="text1"/>
          <w14:textFill>
            <w14:solidFill>
              <w14:schemeClr w14:val="tx1"/>
            </w14:solidFill>
          </w14:textFill>
        </w:rPr>
        <w:t>6.2政策措施</w:t>
      </w:r>
      <w:bookmarkEnd w:id="28"/>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我校是董事会领导下的校长负责制，学校具有很大的办学自主权。除经费预算外，学校内部管理都是学校管理层共同决策，集团不参与学校的具体教育教学业务管理。在人力资源方面政府给予了最大的支持，政府给了我校180个教师编制，目前我校有在编教师17</w:t>
      </w:r>
      <w:r>
        <w:rPr>
          <w:rFonts w:asciiTheme="minorEastAsia" w:hAnsiTheme="minorEastAsia"/>
          <w:color w:val="000000" w:themeColor="text1"/>
          <w:sz w:val="28"/>
          <w:szCs w:val="28"/>
          <w14:textFill>
            <w14:solidFill>
              <w14:schemeClr w14:val="tx1"/>
            </w14:solidFill>
          </w14:textFill>
        </w:rPr>
        <w:t>8</w:t>
      </w:r>
      <w:r>
        <w:rPr>
          <w:rFonts w:hint="eastAsia" w:asciiTheme="minorEastAsia" w:hAnsiTheme="minorEastAsia"/>
          <w:color w:val="000000" w:themeColor="text1"/>
          <w:sz w:val="28"/>
          <w:szCs w:val="28"/>
          <w14:textFill>
            <w14:solidFill>
              <w14:schemeClr w14:val="tx1"/>
            </w14:solidFill>
          </w14:textFill>
        </w:rPr>
        <w:t>人，空编</w:t>
      </w: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14:textFill>
            <w14:solidFill>
              <w14:schemeClr w14:val="tx1"/>
            </w14:solidFill>
          </w14:textFill>
        </w:rPr>
        <w:t>人。</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为提高我校的办学水平我校出台了一系列制度和规范，其中制度有：《制定教学计划制度》、《教师备课制度》、《教师上课制度》、《教师听课制度》、《作业布置与批改制度》、《成绩评定制度》、《考试考场制度》、《教师调课制度》、《教师代课制度》、《日常教学巡查制度》、《教案检查制度》、《作业批改检查制度》、《班级周志检查制度》、《高考质量奖励办法》、《学生操行分管理制度》、《教师综合考核办法》、《绩效工资考核方案》。其中规范有：《教师职业道德规范》、《教师课堂规范》、《学生课堂规范》、《制定学期授课计划规范》、《备课规范》、《体育课教学规范》、《学生德育规范》。由于我校制度规范健全，检查落实到位，各方面管理规范有序，学校发展前景好，后劲足。</w:t>
      </w:r>
    </w:p>
    <w:p>
      <w:pPr>
        <w:pStyle w:val="2"/>
        <w:rPr>
          <w:color w:val="000000" w:themeColor="text1"/>
          <w14:textFill>
            <w14:solidFill>
              <w14:schemeClr w14:val="tx1"/>
            </w14:solidFill>
          </w14:textFill>
        </w:rPr>
      </w:pPr>
      <w:bookmarkStart w:id="29" w:name="_Toc60300695"/>
      <w:r>
        <w:rPr>
          <w:rFonts w:hint="eastAsia"/>
          <w:color w:val="000000" w:themeColor="text1"/>
          <w14:textFill>
            <w14:solidFill>
              <w14:schemeClr w14:val="tx1"/>
            </w14:solidFill>
          </w14:textFill>
        </w:rPr>
        <w:t>7.特色创新</w:t>
      </w:r>
      <w:bookmarkEnd w:id="29"/>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由以就业为中心的办学模式向以高考为中心的模式转变初见成效。我校地处四川西南小县城，虽然专业也不少，但除了农业专业外，其它专业几乎都没有行业和企业支撑，学校的办学方向在一段时间内似乎很迷茫。我校行政不等不靠，认真思考，结合目前的职教政策，认真分析家长及学生的需求后，学校一班人积极走出去，借鉴了兄弟学校的成功经验，学校确定了以高考为中心的办学模式。结合办学模式的转型，学校在人才培养方案，教学计划等方面均做了非常大的改革，老师也经历了痛苦的转型期，从实施效果看效果非常明显。高考成绩年年攀升，招生效果非常明显。2</w:t>
      </w:r>
      <w:r>
        <w:rPr>
          <w:rFonts w:asciiTheme="minorEastAsia" w:hAnsiTheme="minorEastAsia"/>
          <w:color w:val="000000" w:themeColor="text1"/>
          <w:sz w:val="28"/>
          <w:szCs w:val="28"/>
          <w14:textFill>
            <w14:solidFill>
              <w14:schemeClr w14:val="tx1"/>
            </w14:solidFill>
          </w14:textFill>
        </w:rPr>
        <w:t>020</w:t>
      </w:r>
      <w:r>
        <w:rPr>
          <w:rFonts w:hint="eastAsia" w:asciiTheme="minorEastAsia" w:hAnsiTheme="minorEastAsia"/>
          <w:color w:val="000000" w:themeColor="text1"/>
          <w:sz w:val="28"/>
          <w:szCs w:val="28"/>
          <w14:textFill>
            <w14:solidFill>
              <w14:schemeClr w14:val="tx1"/>
            </w14:solidFill>
          </w14:textFill>
        </w:rPr>
        <w:t>我校高考班升学率达100%，本科上线2</w:t>
      </w:r>
      <w:r>
        <w:rPr>
          <w:rFonts w:asciiTheme="minorEastAsia" w:hAnsiTheme="minorEastAsia"/>
          <w:color w:val="000000" w:themeColor="text1"/>
          <w:sz w:val="28"/>
          <w:szCs w:val="28"/>
          <w14:textFill>
            <w14:solidFill>
              <w14:schemeClr w14:val="tx1"/>
            </w14:solidFill>
          </w14:textFill>
        </w:rPr>
        <w:t>3</w:t>
      </w:r>
      <w:r>
        <w:rPr>
          <w:rFonts w:hint="eastAsia" w:asciiTheme="minorEastAsia" w:hAnsiTheme="minorEastAsia"/>
          <w:color w:val="000000" w:themeColor="text1"/>
          <w:sz w:val="28"/>
          <w:szCs w:val="28"/>
          <w14:textFill>
            <w14:solidFill>
              <w14:schemeClr w14:val="tx1"/>
            </w14:solidFill>
          </w14:textFill>
        </w:rPr>
        <w:t>人，专科上线5</w:t>
      </w:r>
      <w:r>
        <w:rPr>
          <w:rFonts w:asciiTheme="minorEastAsia" w:hAnsiTheme="minorEastAsia"/>
          <w:color w:val="000000" w:themeColor="text1"/>
          <w:sz w:val="28"/>
          <w:szCs w:val="28"/>
          <w14:textFill>
            <w14:solidFill>
              <w14:schemeClr w14:val="tx1"/>
            </w14:solidFill>
          </w14:textFill>
        </w:rPr>
        <w:t>08</w:t>
      </w:r>
      <w:r>
        <w:rPr>
          <w:rFonts w:hint="eastAsia" w:asciiTheme="minorEastAsia" w:hAnsiTheme="minorEastAsia"/>
          <w:color w:val="000000" w:themeColor="text1"/>
          <w:sz w:val="28"/>
          <w:szCs w:val="28"/>
          <w14:textFill>
            <w14:solidFill>
              <w14:schemeClr w14:val="tx1"/>
            </w14:solidFill>
          </w14:textFill>
        </w:rPr>
        <w:t>人，在全州同类学校中名列前茅超。</w:t>
      </w:r>
    </w:p>
    <w:p>
      <w:pPr>
        <w:pStyle w:val="2"/>
        <w:rPr>
          <w:color w:val="000000" w:themeColor="text1"/>
          <w14:textFill>
            <w14:solidFill>
              <w14:schemeClr w14:val="tx1"/>
            </w14:solidFill>
          </w14:textFill>
        </w:rPr>
      </w:pPr>
      <w:bookmarkStart w:id="30" w:name="_Toc60300696"/>
      <w:r>
        <w:rPr>
          <w:rFonts w:hint="eastAsia"/>
          <w:color w:val="000000" w:themeColor="text1"/>
          <w14:textFill>
            <w14:solidFill>
              <w14:schemeClr w14:val="tx1"/>
            </w14:solidFill>
          </w14:textFill>
        </w:rPr>
        <w:t>8.主要问题和改进措施</w:t>
      </w:r>
      <w:bookmarkEnd w:id="30"/>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问题：学校转型升级步伐慢，专业发展后劲不足。</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主要原因：</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传统专业数目过多，我校现有10个专业分别是计算机、电子、会计、旅游、建筑、农学、服装、机加、汽修。10个专业中的大多数专业方向个均为传统专业方向，而且大部分地区分学生均分布在计算机、电子、会计三个专业，这些专业全省所有中职校几乎都有，缺乏明显的专业特色，已经不利于专业发展，更无法形成专业优势。</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专业师资素质整体水平提高速度慢，缺乏专业领军人物。在我校的大部分专业课程教师都是年轻教师，缺乏技术优势，综合素质不高，专业功底也不扎实，目前体制下老师培训的机会不多，教师专业能力提升的通道少，导致专业老师没有能力推动专业建设向高层次发展。</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（3）学校在设备设施投入后续乏力，目前学校设备设施已经严重落后，许多专业设备设施都是十年前的产品，部分专业设备已经不能完全满足教学需要。</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解决问题的措施：</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（1）逐步实现专业资源整合，积极开办与市场接轨的专业，着力打造5个左右精品专业，提高学校办学实力。</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（2）加强师资队伍建设。从资金和政策入手，向集团争取更多的资金，向上级教育主管部门争取更多的政策，为老师提供更多的培训进修机会，切实提高师资队伍素质与能力。</w:t>
      </w:r>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（3）争取集团的大力支持，增加设备设施的投入力度，让更多的专业设备设施符合当前经济社会发展水平，切合企业实际需求。</w:t>
      </w:r>
    </w:p>
    <w:p>
      <w:pPr>
        <w:pStyle w:val="2"/>
        <w:rPr>
          <w:color w:val="000000" w:themeColor="text1"/>
          <w14:textFill>
            <w14:solidFill>
              <w14:schemeClr w14:val="tx1"/>
            </w14:solidFill>
          </w14:textFill>
        </w:rPr>
      </w:pPr>
      <w:bookmarkStart w:id="31" w:name="_Toc60300697"/>
      <w:r>
        <w:rPr>
          <w:rFonts w:hint="eastAsia"/>
          <w:color w:val="000000" w:themeColor="text1"/>
          <w14:textFill>
            <w14:solidFill>
              <w14:schemeClr w14:val="tx1"/>
            </w14:solidFill>
          </w14:textFill>
        </w:rPr>
        <w:t>9.其他</w:t>
      </w:r>
      <w:bookmarkEnd w:id="31"/>
    </w:p>
    <w:p>
      <w:pPr>
        <w:ind w:firstLine="560" w:firstLineChars="200"/>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目前，北京北方投资集团正式控股我校，学校将借助集团强大的财力支持，力争在最短时间内实现转型升级，争取将我校建设成为国家级历史文化名城——会理，唯一的高职院校。</w:t>
      </w:r>
    </w:p>
    <w:p>
      <w:pPr>
        <w:ind w:firstLine="560" w:firstLineChars="200"/>
        <w:rPr>
          <w:rFonts w:asciiTheme="minorEastAsia" w:hAnsiTheme="minorEastAsia"/>
          <w:color w:val="000000" w:themeColor="text1"/>
          <w:sz w:val="28"/>
          <w:szCs w:val="28"/>
          <w14:textFill>
            <w14:solidFill>
              <w14:schemeClr w14:val="tx1"/>
            </w14:solidFill>
          </w14:textFill>
        </w:rPr>
      </w:pPr>
    </w:p>
    <w:sectPr>
      <w:footerReference r:id="rId8" w:type="first"/>
      <w:footerReference r:id="rId7" w:type="default"/>
      <w:pgSz w:w="11906" w:h="16838"/>
      <w:pgMar w:top="1440" w:right="1797" w:bottom="1440" w:left="179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2919624"/>
      <w:docPartObj>
        <w:docPartGallery w:val="AutoText"/>
      </w:docPartObj>
    </w:sdtPr>
    <w:sdtContent>
      <w:p>
        <w:pPr>
          <w:pStyle w:val="6"/>
          <w:jc w:val="right"/>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24 -</w:t>
        </w:r>
        <w:r>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166851"/>
      <w:docPartObj>
        <w:docPartGallery w:val="AutoText"/>
      </w:docPartObj>
    </w:sdtPr>
    <w:sdtEndPr>
      <w:rPr>
        <w:rFonts w:ascii="宋体" w:hAnsi="宋体" w:eastAsia="宋体"/>
        <w:sz w:val="28"/>
        <w:szCs w:val="28"/>
      </w:rPr>
    </w:sdtEndPr>
    <w:sdtContent>
      <w:p>
        <w:pPr>
          <w:pStyle w:val="6"/>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23 -</w:t>
        </w:r>
        <w:r>
          <w:rPr>
            <w:rFonts w:ascii="宋体" w:hAnsi="宋体" w:eastAsia="宋体"/>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3335042"/>
      <w:docPartObj>
        <w:docPartGallery w:val="AutoText"/>
      </w:docPartObj>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column">
            <wp:posOffset>-25400</wp:posOffset>
          </wp:positionH>
          <wp:positionV relativeFrom="paragraph">
            <wp:posOffset>1270</wp:posOffset>
          </wp:positionV>
          <wp:extent cx="399415" cy="348615"/>
          <wp:effectExtent l="0" t="0" r="635"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415" cy="3486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7"/>
    <w:rsid w:val="00004E20"/>
    <w:rsid w:val="00006D33"/>
    <w:rsid w:val="00013B13"/>
    <w:rsid w:val="000254C8"/>
    <w:rsid w:val="000361AC"/>
    <w:rsid w:val="00037047"/>
    <w:rsid w:val="0004248C"/>
    <w:rsid w:val="00045C88"/>
    <w:rsid w:val="000710C4"/>
    <w:rsid w:val="000815F8"/>
    <w:rsid w:val="0008728E"/>
    <w:rsid w:val="00087EAE"/>
    <w:rsid w:val="000913F8"/>
    <w:rsid w:val="000A125D"/>
    <w:rsid w:val="000B0B48"/>
    <w:rsid w:val="000D1AAE"/>
    <w:rsid w:val="000D6D48"/>
    <w:rsid w:val="000E0336"/>
    <w:rsid w:val="000E071B"/>
    <w:rsid w:val="000E4E8C"/>
    <w:rsid w:val="000E6022"/>
    <w:rsid w:val="000E756A"/>
    <w:rsid w:val="00114C5B"/>
    <w:rsid w:val="00127F85"/>
    <w:rsid w:val="001306FD"/>
    <w:rsid w:val="00130F58"/>
    <w:rsid w:val="00134F33"/>
    <w:rsid w:val="001369D4"/>
    <w:rsid w:val="00143C86"/>
    <w:rsid w:val="0015058E"/>
    <w:rsid w:val="00157979"/>
    <w:rsid w:val="00166EE2"/>
    <w:rsid w:val="00175823"/>
    <w:rsid w:val="0018006B"/>
    <w:rsid w:val="00192206"/>
    <w:rsid w:val="001956F3"/>
    <w:rsid w:val="001B43B8"/>
    <w:rsid w:val="001D0596"/>
    <w:rsid w:val="001D4EA4"/>
    <w:rsid w:val="001D6629"/>
    <w:rsid w:val="001E4853"/>
    <w:rsid w:val="00200422"/>
    <w:rsid w:val="002033A4"/>
    <w:rsid w:val="00210EDB"/>
    <w:rsid w:val="00227F0B"/>
    <w:rsid w:val="00230DB8"/>
    <w:rsid w:val="00257AE8"/>
    <w:rsid w:val="00263A58"/>
    <w:rsid w:val="002850F6"/>
    <w:rsid w:val="00291309"/>
    <w:rsid w:val="002956C3"/>
    <w:rsid w:val="00295EDD"/>
    <w:rsid w:val="00296390"/>
    <w:rsid w:val="002A52BA"/>
    <w:rsid w:val="002A60CC"/>
    <w:rsid w:val="002B5450"/>
    <w:rsid w:val="002B6197"/>
    <w:rsid w:val="002E00BD"/>
    <w:rsid w:val="002F2F17"/>
    <w:rsid w:val="002F48C6"/>
    <w:rsid w:val="00314002"/>
    <w:rsid w:val="00317E22"/>
    <w:rsid w:val="003203DB"/>
    <w:rsid w:val="00321177"/>
    <w:rsid w:val="00324CE3"/>
    <w:rsid w:val="0033287E"/>
    <w:rsid w:val="003368A5"/>
    <w:rsid w:val="00342909"/>
    <w:rsid w:val="003456DC"/>
    <w:rsid w:val="00355C39"/>
    <w:rsid w:val="00362800"/>
    <w:rsid w:val="00370904"/>
    <w:rsid w:val="00372CD9"/>
    <w:rsid w:val="00373721"/>
    <w:rsid w:val="00376C97"/>
    <w:rsid w:val="00381598"/>
    <w:rsid w:val="00381995"/>
    <w:rsid w:val="003840F3"/>
    <w:rsid w:val="00386A5A"/>
    <w:rsid w:val="00391178"/>
    <w:rsid w:val="00392862"/>
    <w:rsid w:val="003937B7"/>
    <w:rsid w:val="00393873"/>
    <w:rsid w:val="003965FB"/>
    <w:rsid w:val="003969CA"/>
    <w:rsid w:val="00396F42"/>
    <w:rsid w:val="003A0A9E"/>
    <w:rsid w:val="003A2FA2"/>
    <w:rsid w:val="003A40EE"/>
    <w:rsid w:val="003B56BA"/>
    <w:rsid w:val="003C26CF"/>
    <w:rsid w:val="003D2C30"/>
    <w:rsid w:val="003D4DC3"/>
    <w:rsid w:val="003D67C9"/>
    <w:rsid w:val="003F1DD6"/>
    <w:rsid w:val="003F5F7C"/>
    <w:rsid w:val="0041286A"/>
    <w:rsid w:val="0041300C"/>
    <w:rsid w:val="00422D20"/>
    <w:rsid w:val="00431F56"/>
    <w:rsid w:val="00440F6F"/>
    <w:rsid w:val="00441528"/>
    <w:rsid w:val="00446EC8"/>
    <w:rsid w:val="004531C1"/>
    <w:rsid w:val="00464557"/>
    <w:rsid w:val="00464ABC"/>
    <w:rsid w:val="004770B4"/>
    <w:rsid w:val="00483FE7"/>
    <w:rsid w:val="00484D4E"/>
    <w:rsid w:val="00497C73"/>
    <w:rsid w:val="004B226A"/>
    <w:rsid w:val="004C04A7"/>
    <w:rsid w:val="004C099F"/>
    <w:rsid w:val="004C6FB4"/>
    <w:rsid w:val="004E4881"/>
    <w:rsid w:val="004F1D09"/>
    <w:rsid w:val="00510813"/>
    <w:rsid w:val="0051122E"/>
    <w:rsid w:val="00513CFE"/>
    <w:rsid w:val="00514664"/>
    <w:rsid w:val="005222FE"/>
    <w:rsid w:val="00524D49"/>
    <w:rsid w:val="00526D5F"/>
    <w:rsid w:val="005339CE"/>
    <w:rsid w:val="00545D50"/>
    <w:rsid w:val="00552160"/>
    <w:rsid w:val="00557D43"/>
    <w:rsid w:val="00562497"/>
    <w:rsid w:val="005625AD"/>
    <w:rsid w:val="00564BD9"/>
    <w:rsid w:val="0057139F"/>
    <w:rsid w:val="00575B8B"/>
    <w:rsid w:val="005809ED"/>
    <w:rsid w:val="00580F56"/>
    <w:rsid w:val="00586770"/>
    <w:rsid w:val="005869CE"/>
    <w:rsid w:val="00590DB2"/>
    <w:rsid w:val="00592D1F"/>
    <w:rsid w:val="0059362B"/>
    <w:rsid w:val="005A67FD"/>
    <w:rsid w:val="005B0721"/>
    <w:rsid w:val="005B4D38"/>
    <w:rsid w:val="005B705F"/>
    <w:rsid w:val="005B7119"/>
    <w:rsid w:val="005B7733"/>
    <w:rsid w:val="005C216E"/>
    <w:rsid w:val="005D31F3"/>
    <w:rsid w:val="005D59E7"/>
    <w:rsid w:val="005E36D3"/>
    <w:rsid w:val="005F1EEA"/>
    <w:rsid w:val="005F25BB"/>
    <w:rsid w:val="005F4F97"/>
    <w:rsid w:val="005F7B6F"/>
    <w:rsid w:val="00601C71"/>
    <w:rsid w:val="00602287"/>
    <w:rsid w:val="00603E05"/>
    <w:rsid w:val="0061787C"/>
    <w:rsid w:val="0062204A"/>
    <w:rsid w:val="00624561"/>
    <w:rsid w:val="00627B24"/>
    <w:rsid w:val="00641424"/>
    <w:rsid w:val="00641825"/>
    <w:rsid w:val="00646B3B"/>
    <w:rsid w:val="0064782A"/>
    <w:rsid w:val="00652CB0"/>
    <w:rsid w:val="00654B16"/>
    <w:rsid w:val="0065538A"/>
    <w:rsid w:val="00657426"/>
    <w:rsid w:val="00660136"/>
    <w:rsid w:val="0066577E"/>
    <w:rsid w:val="006665AE"/>
    <w:rsid w:val="00672210"/>
    <w:rsid w:val="00680D17"/>
    <w:rsid w:val="0068173D"/>
    <w:rsid w:val="006824E3"/>
    <w:rsid w:val="006845C1"/>
    <w:rsid w:val="00685350"/>
    <w:rsid w:val="0069133E"/>
    <w:rsid w:val="006A0406"/>
    <w:rsid w:val="006A2414"/>
    <w:rsid w:val="006A47A5"/>
    <w:rsid w:val="006A4F7F"/>
    <w:rsid w:val="006B00F8"/>
    <w:rsid w:val="006B20E9"/>
    <w:rsid w:val="006D0432"/>
    <w:rsid w:val="006D2646"/>
    <w:rsid w:val="006D5588"/>
    <w:rsid w:val="006E109F"/>
    <w:rsid w:val="00711E85"/>
    <w:rsid w:val="00721367"/>
    <w:rsid w:val="007229D1"/>
    <w:rsid w:val="0072620E"/>
    <w:rsid w:val="00733C7E"/>
    <w:rsid w:val="007418DF"/>
    <w:rsid w:val="007470CD"/>
    <w:rsid w:val="00747278"/>
    <w:rsid w:val="00763B4D"/>
    <w:rsid w:val="00765D82"/>
    <w:rsid w:val="00767A05"/>
    <w:rsid w:val="0077045A"/>
    <w:rsid w:val="00776290"/>
    <w:rsid w:val="007765A3"/>
    <w:rsid w:val="00787EFB"/>
    <w:rsid w:val="007A4917"/>
    <w:rsid w:val="007A4E55"/>
    <w:rsid w:val="007A5909"/>
    <w:rsid w:val="007A5E22"/>
    <w:rsid w:val="007B044F"/>
    <w:rsid w:val="007B2454"/>
    <w:rsid w:val="007B41FA"/>
    <w:rsid w:val="007B6E40"/>
    <w:rsid w:val="007C4754"/>
    <w:rsid w:val="007C7483"/>
    <w:rsid w:val="007D69CE"/>
    <w:rsid w:val="007D7B70"/>
    <w:rsid w:val="007F483A"/>
    <w:rsid w:val="007F5203"/>
    <w:rsid w:val="008018BB"/>
    <w:rsid w:val="00804906"/>
    <w:rsid w:val="008060B0"/>
    <w:rsid w:val="00827102"/>
    <w:rsid w:val="008276F0"/>
    <w:rsid w:val="00827FF0"/>
    <w:rsid w:val="0083427F"/>
    <w:rsid w:val="0083485B"/>
    <w:rsid w:val="00837A7E"/>
    <w:rsid w:val="00842365"/>
    <w:rsid w:val="008476A8"/>
    <w:rsid w:val="00851FC9"/>
    <w:rsid w:val="00852EDB"/>
    <w:rsid w:val="0085490D"/>
    <w:rsid w:val="0088000B"/>
    <w:rsid w:val="00884F30"/>
    <w:rsid w:val="00884F83"/>
    <w:rsid w:val="00891F3B"/>
    <w:rsid w:val="00894577"/>
    <w:rsid w:val="008A75DD"/>
    <w:rsid w:val="008B22E1"/>
    <w:rsid w:val="008B23E1"/>
    <w:rsid w:val="008B2E53"/>
    <w:rsid w:val="008B631F"/>
    <w:rsid w:val="008C3FE6"/>
    <w:rsid w:val="008C43CF"/>
    <w:rsid w:val="008C7683"/>
    <w:rsid w:val="008D0D1C"/>
    <w:rsid w:val="008E0EDC"/>
    <w:rsid w:val="008E4DAC"/>
    <w:rsid w:val="008F1431"/>
    <w:rsid w:val="00900579"/>
    <w:rsid w:val="00906A52"/>
    <w:rsid w:val="00907048"/>
    <w:rsid w:val="00907AE5"/>
    <w:rsid w:val="00936982"/>
    <w:rsid w:val="00942D84"/>
    <w:rsid w:val="0094517C"/>
    <w:rsid w:val="009530B6"/>
    <w:rsid w:val="00953B69"/>
    <w:rsid w:val="00966EEA"/>
    <w:rsid w:val="00976EEB"/>
    <w:rsid w:val="00987570"/>
    <w:rsid w:val="00990EE6"/>
    <w:rsid w:val="00992E31"/>
    <w:rsid w:val="009A19CA"/>
    <w:rsid w:val="009B50C5"/>
    <w:rsid w:val="009C0571"/>
    <w:rsid w:val="009C1FF9"/>
    <w:rsid w:val="009C6A5E"/>
    <w:rsid w:val="009E44BD"/>
    <w:rsid w:val="009E6A43"/>
    <w:rsid w:val="009F05D2"/>
    <w:rsid w:val="00A000CA"/>
    <w:rsid w:val="00A00CD5"/>
    <w:rsid w:val="00A01CB8"/>
    <w:rsid w:val="00A04D2C"/>
    <w:rsid w:val="00A106C4"/>
    <w:rsid w:val="00A11C25"/>
    <w:rsid w:val="00A14787"/>
    <w:rsid w:val="00A15D6F"/>
    <w:rsid w:val="00A22030"/>
    <w:rsid w:val="00A22E94"/>
    <w:rsid w:val="00A351C6"/>
    <w:rsid w:val="00A373BB"/>
    <w:rsid w:val="00A41464"/>
    <w:rsid w:val="00A41BFF"/>
    <w:rsid w:val="00A47993"/>
    <w:rsid w:val="00A52878"/>
    <w:rsid w:val="00A603F4"/>
    <w:rsid w:val="00A61A25"/>
    <w:rsid w:val="00A64E4C"/>
    <w:rsid w:val="00A71806"/>
    <w:rsid w:val="00A73E6F"/>
    <w:rsid w:val="00A809DA"/>
    <w:rsid w:val="00A80CE9"/>
    <w:rsid w:val="00A84E4B"/>
    <w:rsid w:val="00A862DE"/>
    <w:rsid w:val="00A86858"/>
    <w:rsid w:val="00A964DE"/>
    <w:rsid w:val="00AA0D9E"/>
    <w:rsid w:val="00AB66BD"/>
    <w:rsid w:val="00AB7BAF"/>
    <w:rsid w:val="00AC0CCE"/>
    <w:rsid w:val="00AC13F6"/>
    <w:rsid w:val="00AC626B"/>
    <w:rsid w:val="00AD64B9"/>
    <w:rsid w:val="00AE5810"/>
    <w:rsid w:val="00AE7E02"/>
    <w:rsid w:val="00AF374B"/>
    <w:rsid w:val="00AF7AE6"/>
    <w:rsid w:val="00B13488"/>
    <w:rsid w:val="00B14E48"/>
    <w:rsid w:val="00B17694"/>
    <w:rsid w:val="00B20ECB"/>
    <w:rsid w:val="00B27770"/>
    <w:rsid w:val="00B361EC"/>
    <w:rsid w:val="00B403E6"/>
    <w:rsid w:val="00B40AE3"/>
    <w:rsid w:val="00B44B07"/>
    <w:rsid w:val="00B5497C"/>
    <w:rsid w:val="00B573AE"/>
    <w:rsid w:val="00B61E6F"/>
    <w:rsid w:val="00B7249C"/>
    <w:rsid w:val="00B727A6"/>
    <w:rsid w:val="00B81E00"/>
    <w:rsid w:val="00B82B0B"/>
    <w:rsid w:val="00B83B2C"/>
    <w:rsid w:val="00B840EC"/>
    <w:rsid w:val="00B96698"/>
    <w:rsid w:val="00BA2C23"/>
    <w:rsid w:val="00BA3FD5"/>
    <w:rsid w:val="00BA7645"/>
    <w:rsid w:val="00BA7FAA"/>
    <w:rsid w:val="00BB4DBB"/>
    <w:rsid w:val="00BB66EF"/>
    <w:rsid w:val="00BC4B82"/>
    <w:rsid w:val="00BE0C58"/>
    <w:rsid w:val="00BE4B5A"/>
    <w:rsid w:val="00C014B4"/>
    <w:rsid w:val="00C02565"/>
    <w:rsid w:val="00C03CA8"/>
    <w:rsid w:val="00C14000"/>
    <w:rsid w:val="00C157F4"/>
    <w:rsid w:val="00C233CD"/>
    <w:rsid w:val="00C24614"/>
    <w:rsid w:val="00C3081A"/>
    <w:rsid w:val="00C31DB5"/>
    <w:rsid w:val="00C37169"/>
    <w:rsid w:val="00C43470"/>
    <w:rsid w:val="00C44FEA"/>
    <w:rsid w:val="00C52009"/>
    <w:rsid w:val="00C52E7B"/>
    <w:rsid w:val="00C62E00"/>
    <w:rsid w:val="00C64F33"/>
    <w:rsid w:val="00C64FD4"/>
    <w:rsid w:val="00C702E9"/>
    <w:rsid w:val="00C732A4"/>
    <w:rsid w:val="00C75332"/>
    <w:rsid w:val="00C80C4D"/>
    <w:rsid w:val="00C81A08"/>
    <w:rsid w:val="00C87423"/>
    <w:rsid w:val="00C90FC2"/>
    <w:rsid w:val="00C92F82"/>
    <w:rsid w:val="00CA05F6"/>
    <w:rsid w:val="00CA13AE"/>
    <w:rsid w:val="00CA1F81"/>
    <w:rsid w:val="00CB1568"/>
    <w:rsid w:val="00CB176D"/>
    <w:rsid w:val="00CB5E37"/>
    <w:rsid w:val="00CC1605"/>
    <w:rsid w:val="00CD5BB3"/>
    <w:rsid w:val="00CD67AB"/>
    <w:rsid w:val="00CE5A01"/>
    <w:rsid w:val="00CF18E9"/>
    <w:rsid w:val="00CF3541"/>
    <w:rsid w:val="00CF4F0C"/>
    <w:rsid w:val="00CF659D"/>
    <w:rsid w:val="00CF6EC6"/>
    <w:rsid w:val="00CF7BA6"/>
    <w:rsid w:val="00D00BD2"/>
    <w:rsid w:val="00D11535"/>
    <w:rsid w:val="00D17A83"/>
    <w:rsid w:val="00D311E7"/>
    <w:rsid w:val="00D40B20"/>
    <w:rsid w:val="00D4207C"/>
    <w:rsid w:val="00D429AB"/>
    <w:rsid w:val="00D429E2"/>
    <w:rsid w:val="00D43542"/>
    <w:rsid w:val="00D472C9"/>
    <w:rsid w:val="00D53082"/>
    <w:rsid w:val="00D55A00"/>
    <w:rsid w:val="00D575C2"/>
    <w:rsid w:val="00D75BDE"/>
    <w:rsid w:val="00D811E3"/>
    <w:rsid w:val="00D86148"/>
    <w:rsid w:val="00D914A1"/>
    <w:rsid w:val="00D92AF8"/>
    <w:rsid w:val="00DA1FAA"/>
    <w:rsid w:val="00DA38C0"/>
    <w:rsid w:val="00DB146A"/>
    <w:rsid w:val="00DB3096"/>
    <w:rsid w:val="00DB34B9"/>
    <w:rsid w:val="00DB431E"/>
    <w:rsid w:val="00DB49A3"/>
    <w:rsid w:val="00DC1664"/>
    <w:rsid w:val="00DE3E6C"/>
    <w:rsid w:val="00DE5D2F"/>
    <w:rsid w:val="00DF3618"/>
    <w:rsid w:val="00DF3CF2"/>
    <w:rsid w:val="00E12E09"/>
    <w:rsid w:val="00E41488"/>
    <w:rsid w:val="00E431F4"/>
    <w:rsid w:val="00E44B91"/>
    <w:rsid w:val="00E534CA"/>
    <w:rsid w:val="00E638A0"/>
    <w:rsid w:val="00E70EB8"/>
    <w:rsid w:val="00E72C3E"/>
    <w:rsid w:val="00E7320F"/>
    <w:rsid w:val="00E756E3"/>
    <w:rsid w:val="00E8665F"/>
    <w:rsid w:val="00EB3175"/>
    <w:rsid w:val="00EC1100"/>
    <w:rsid w:val="00EC7AD1"/>
    <w:rsid w:val="00ED4447"/>
    <w:rsid w:val="00EE3B4F"/>
    <w:rsid w:val="00EE4457"/>
    <w:rsid w:val="00EE756E"/>
    <w:rsid w:val="00EF1CC3"/>
    <w:rsid w:val="00EF2AB5"/>
    <w:rsid w:val="00EF4F43"/>
    <w:rsid w:val="00F11C85"/>
    <w:rsid w:val="00F210D2"/>
    <w:rsid w:val="00F22BF8"/>
    <w:rsid w:val="00F32C2D"/>
    <w:rsid w:val="00F4131E"/>
    <w:rsid w:val="00F42097"/>
    <w:rsid w:val="00F43F1A"/>
    <w:rsid w:val="00F45F18"/>
    <w:rsid w:val="00F468F9"/>
    <w:rsid w:val="00F46AE0"/>
    <w:rsid w:val="00F6208F"/>
    <w:rsid w:val="00F62D24"/>
    <w:rsid w:val="00F6357D"/>
    <w:rsid w:val="00F638BA"/>
    <w:rsid w:val="00F641A7"/>
    <w:rsid w:val="00F64E4B"/>
    <w:rsid w:val="00F81482"/>
    <w:rsid w:val="00F84A96"/>
    <w:rsid w:val="00F95D2A"/>
    <w:rsid w:val="00F96B1E"/>
    <w:rsid w:val="00F97547"/>
    <w:rsid w:val="00FA1DDD"/>
    <w:rsid w:val="00FA5F02"/>
    <w:rsid w:val="00FB0C16"/>
    <w:rsid w:val="00FC506D"/>
    <w:rsid w:val="00FE0BA8"/>
    <w:rsid w:val="00FF62DA"/>
    <w:rsid w:val="6AF1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Balloon Text"/>
    <w:basedOn w:val="1"/>
    <w:link w:val="17"/>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widowControl/>
      <w:spacing w:after="100" w:line="276" w:lineRule="auto"/>
      <w:jc w:val="left"/>
    </w:pPr>
    <w:rPr>
      <w:kern w:val="0"/>
      <w:sz w:val="22"/>
    </w:rPr>
  </w:style>
  <w:style w:type="paragraph" w:styleId="9">
    <w:name w:val="toc 2"/>
    <w:basedOn w:val="1"/>
    <w:next w:val="1"/>
    <w:unhideWhenUsed/>
    <w:qFormat/>
    <w:uiPriority w:val="39"/>
    <w:pPr>
      <w:widowControl/>
      <w:spacing w:after="100" w:line="276" w:lineRule="auto"/>
      <w:ind w:left="220"/>
      <w:jc w:val="left"/>
    </w:pPr>
    <w:rPr>
      <w:kern w:val="0"/>
      <w:sz w:val="2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customStyle="1" w:styleId="14">
    <w:name w:val="页眉 字符"/>
    <w:basedOn w:val="12"/>
    <w:link w:val="7"/>
    <w:qFormat/>
    <w:uiPriority w:val="99"/>
    <w:rPr>
      <w:sz w:val="18"/>
      <w:szCs w:val="18"/>
    </w:rPr>
  </w:style>
  <w:style w:type="character" w:customStyle="1" w:styleId="15">
    <w:name w:val="页脚 字符"/>
    <w:basedOn w:val="12"/>
    <w:link w:val="6"/>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字符"/>
    <w:basedOn w:val="12"/>
    <w:link w:val="5"/>
    <w:semiHidden/>
    <w:uiPriority w:val="99"/>
    <w:rPr>
      <w:sz w:val="18"/>
      <w:szCs w:val="18"/>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字符"/>
    <w:basedOn w:val="12"/>
    <w:link w:val="18"/>
    <w:uiPriority w:val="1"/>
    <w:rPr>
      <w:kern w:val="0"/>
      <w:sz w:val="22"/>
    </w:rPr>
  </w:style>
  <w:style w:type="character" w:customStyle="1" w:styleId="20">
    <w:name w:val="标题 1 字符"/>
    <w:basedOn w:val="12"/>
    <w:link w:val="2"/>
    <w:qFormat/>
    <w:uiPriority w:val="9"/>
    <w:rPr>
      <w:b/>
      <w:bCs/>
      <w:kern w:val="44"/>
      <w:sz w:val="44"/>
      <w:szCs w:val="44"/>
    </w:rPr>
  </w:style>
  <w:style w:type="paragraph" w:customStyle="1" w:styleId="21">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2">
    <w:name w:val="标题 2 字符"/>
    <w:basedOn w:val="12"/>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chart" Target="charts/chart11.xml"/><Relationship Id="rId20" Type="http://schemas.openxmlformats.org/officeDocument/2006/relationships/chart" Target="charts/chart10.xml"/><Relationship Id="rId2" Type="http://schemas.openxmlformats.org/officeDocument/2006/relationships/settings" Target="settings.xml"/><Relationship Id="rId19" Type="http://schemas.openxmlformats.org/officeDocument/2006/relationships/chart" Target="charts/chart9.xml"/><Relationship Id="rId18" Type="http://schemas.openxmlformats.org/officeDocument/2006/relationships/chart" Target="charts/chart8.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1-3-1   </a:t>
            </a:r>
            <a:r>
              <a:rPr lang="zh-CN" altLang="en-US"/>
              <a:t>专任教师学历结构图</a:t>
            </a:r>
            <a:endParaRPr lang="zh-CN" altLang="en-US"/>
          </a:p>
        </c:rich>
      </c:tx>
      <c:layout/>
      <c:overlay val="0"/>
    </c:title>
    <c:autoTitleDeleted val="0"/>
    <c:plotArea>
      <c:layout>
        <c:manualLayout>
          <c:layoutTarget val="inner"/>
          <c:xMode val="edge"/>
          <c:yMode val="edge"/>
          <c:x val="0.141148512685914"/>
          <c:y val="0.355902595508895"/>
          <c:w val="0.709412729658793"/>
          <c:h val="0.641898512685914"/>
        </c:manualLayout>
      </c:layout>
      <c:pieChart>
        <c:varyColors val="1"/>
        <c:ser>
          <c:idx val="0"/>
          <c:order val="0"/>
          <c:explosion val="25"/>
          <c:dPt>
            <c:idx val="0"/>
            <c:bubble3D val="0"/>
          </c:dPt>
          <c:dPt>
            <c:idx val="1"/>
            <c:bubble3D val="0"/>
          </c:dPt>
          <c:dLbls>
            <c:dLbl>
              <c:idx val="0"/>
              <c:layout>
                <c:manualLayout>
                  <c:x val="0.194872047244094"/>
                  <c:y val="-0.1516203703703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本科</a:t>
                    </a:r>
                    <a:r>
                      <a:rPr lang="en-US" altLang="zh-CN"/>
                      <a:t>151</a:t>
                    </a:r>
                    <a:r>
                      <a:rPr lang="zh-CN" altLang="en-US"/>
                      <a:t>人</a:t>
                    </a:r>
                    <a:r>
                      <a:rPr lang="zh-CN" altLang="en-US" sz="1000" b="0" i="0" u="none" strike="noStrike" kern="1200" baseline="0">
                        <a:solidFill>
                          <a:sysClr val="windowText" lastClr="000000"/>
                        </a:solidFill>
                        <a:latin typeface="+mn-lt"/>
                        <a:ea typeface="+mn-ea"/>
                        <a:cs typeface="+mn-cs"/>
                      </a:rPr>
                      <a:t>，</a:t>
                    </a:r>
                    <a:r>
                      <a:rPr lang="zh-CN" altLang="en-US"/>
                      <a:t> 占比</a:t>
                    </a:r>
                    <a:r>
                      <a:rPr lang="en-US" altLang="zh-CN"/>
                      <a:t>92.07%</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专科</a:t>
                    </a:r>
                    <a:r>
                      <a:rPr lang="en-US" altLang="zh-CN"/>
                      <a:t>13</a:t>
                    </a:r>
                    <a:r>
                      <a:rPr lang="zh-CN" altLang="en-US"/>
                      <a:t>人</a:t>
                    </a:r>
                    <a:r>
                      <a:rPr lang="zh-CN" altLang="en-US" sz="1000" b="0" i="0" u="none" strike="noStrike" kern="1200" baseline="0">
                        <a:solidFill>
                          <a:sysClr val="windowText" lastClr="000000"/>
                        </a:solidFill>
                        <a:latin typeface="+mn-lt"/>
                        <a:ea typeface="+mn-ea"/>
                        <a:cs typeface="+mn-cs"/>
                      </a:rPr>
                      <a:t>，</a:t>
                    </a:r>
                    <a:r>
                      <a:rPr lang="zh-CN" altLang="en-US"/>
                      <a:t> 占比</a:t>
                    </a:r>
                    <a:r>
                      <a:rPr lang="en-US" altLang="zh-CN"/>
                      <a:t>7.93%</a:t>
                    </a:r>
                    <a:endParaRPr lang="en-US" altLang="zh-CN"/>
                  </a:p>
                </c:rich>
              </c:tx>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Sheet1!$B$5:$C$5</c:f>
              <c:strCache>
                <c:ptCount val="2"/>
                <c:pt idx="0">
                  <c:v>本科</c:v>
                </c:pt>
                <c:pt idx="1">
                  <c:v>专科</c:v>
                </c:pt>
              </c:strCache>
            </c:strRef>
          </c:cat>
          <c:val>
            <c:numRef>
              <c:f>Sheet1!$B$6:$C$6</c:f>
              <c:numCache>
                <c:formatCode>General</c:formatCode>
                <c:ptCount val="2"/>
                <c:pt idx="0">
                  <c:v>131</c:v>
                </c:pt>
                <c:pt idx="1">
                  <c:v>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effectLst/>
              </a:rPr>
              <a:t>图</a:t>
            </a:r>
            <a:r>
              <a:rPr lang="en-US" altLang="zh-CN" sz="1800" b="1" i="0" u="none" strike="noStrike" baseline="0">
                <a:effectLst/>
              </a:rPr>
              <a:t>2-2-7</a:t>
            </a:r>
            <a:r>
              <a:rPr lang="zh-CN" altLang="en-US" sz="1800" b="1" i="0" u="none" strike="noStrike" baseline="0">
                <a:effectLst/>
              </a:rPr>
              <a:t>毕业生对学校</a:t>
            </a:r>
            <a:r>
              <a:rPr lang="zh-CN" altLang="zh-CN" sz="1800" b="1" i="0" u="none" strike="noStrike" baseline="0">
                <a:effectLst/>
              </a:rPr>
              <a:t>满意度</a:t>
            </a:r>
            <a:r>
              <a:rPr lang="zh-CN" altLang="en-US" sz="1800" b="1" i="0" u="none" strike="noStrike" baseline="0">
                <a:effectLst/>
              </a:rPr>
              <a:t>情况</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128057742782152"/>
                  <c:y val="0.01391294838145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95%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00218722659668"/>
                  <c:y val="-0.04756306503353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基本满意</a:t>
                    </a:r>
                    <a:r>
                      <a:rPr lang="en-US" altLang="zh-CN"/>
                      <a:t>4%</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562205818022747"/>
                  <c:y val="-0.03150007290755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1%</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Sheet1!$A$1:$C$1</c:f>
              <c:strCache>
                <c:ptCount val="3"/>
                <c:pt idx="0">
                  <c:v>非常满意</c:v>
                </c:pt>
                <c:pt idx="1">
                  <c:v>基本满意</c:v>
                </c:pt>
                <c:pt idx="2">
                  <c:v>不满意</c:v>
                </c:pt>
              </c:strCache>
            </c:strRef>
          </c:cat>
          <c:val>
            <c:numRef>
              <c:f>Sheet1!$A$2:$C$2</c:f>
              <c:numCache>
                <c:formatCode>0%</c:formatCode>
                <c:ptCount val="3"/>
                <c:pt idx="0">
                  <c:v>0.8</c:v>
                </c:pt>
                <c:pt idx="1">
                  <c:v>0.15</c:v>
                </c:pt>
                <c:pt idx="2">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5-1-1</a:t>
            </a:r>
            <a:r>
              <a:rPr lang="zh-CN" altLang="en-US"/>
              <a:t>用人单位对学生满意度</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Pt>
            <c:idx val="3"/>
            <c:bubble3D val="0"/>
          </c:dPt>
          <c:dLbls>
            <c:dLbl>
              <c:idx val="0"/>
              <c:layout>
                <c:manualLayout>
                  <c:x val="0.0102678258967629"/>
                  <c:y val="-0.024292432195975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优秀</a:t>
                    </a:r>
                    <a:r>
                      <a:rPr lang="en-US" altLang="zh-CN"/>
                      <a:t>30%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993157261592301"/>
                  <c:y val="-0.045178988043161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良好</a:t>
                    </a:r>
                    <a:r>
                      <a:rPr lang="en-US" altLang="zh-CN"/>
                      <a:t>52%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801058617672792"/>
                  <c:y val="0.017743146689997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合格</a:t>
                    </a:r>
                    <a:r>
                      <a:rPr lang="en-US" altLang="zh-CN"/>
                      <a:t>20%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不合格</a:t>
                    </a:r>
                    <a:r>
                      <a:rPr lang="en-US" altLang="zh-CN"/>
                      <a:t>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Sheet1!$A$2:$D$2</c:f>
              <c:strCache>
                <c:ptCount val="4"/>
                <c:pt idx="0">
                  <c:v>优秀</c:v>
                </c:pt>
                <c:pt idx="1">
                  <c:v>良好</c:v>
                </c:pt>
                <c:pt idx="2">
                  <c:v>合格</c:v>
                </c:pt>
                <c:pt idx="3">
                  <c:v>不合格</c:v>
                </c:pt>
              </c:strCache>
            </c:strRef>
          </c:cat>
          <c:val>
            <c:numRef>
              <c:f>Sheet1!$A$3:$D$3</c:f>
              <c:numCache>
                <c:formatCode>0%</c:formatCode>
                <c:ptCount val="4"/>
                <c:pt idx="0">
                  <c:v>0.32</c:v>
                </c:pt>
                <c:pt idx="1">
                  <c:v>0.48</c:v>
                </c:pt>
                <c:pt idx="2">
                  <c:v>0.18</c:v>
                </c:pt>
                <c:pt idx="3">
                  <c:v>0.02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1-3-2</a:t>
            </a:r>
            <a:r>
              <a:rPr lang="zh-CN" altLang="en-US" baseline="0"/>
              <a:t>   </a:t>
            </a:r>
            <a:r>
              <a:rPr lang="zh-CN" altLang="en-US"/>
              <a:t>专任教师职称结构图</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Pt>
            <c:idx val="3"/>
            <c:bubble3D val="0"/>
          </c:dPt>
          <c:dLbls>
            <c:dLbl>
              <c:idx val="0"/>
              <c:layout>
                <c:manualLayout>
                  <c:x val="-0.0454213692038495"/>
                  <c:y val="-0.030567220764071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高级</a:t>
                    </a:r>
                    <a:r>
                      <a:rPr lang="en-US" altLang="zh-CN"/>
                      <a:t>22.5%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79254155730534"/>
                  <c:y val="0.090708296879556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一级</a:t>
                    </a:r>
                    <a:r>
                      <a:rPr lang="en-US" altLang="zh-CN"/>
                      <a:t>50.0%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57777777777778"/>
                  <c:y val="-0.236315616797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二级</a:t>
                    </a:r>
                    <a:r>
                      <a:rPr lang="en-US" altLang="zh-CN"/>
                      <a:t>18.0%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350837707786527"/>
                  <c:y val="-0.03084281131525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未评职</a:t>
                    </a:r>
                    <a:r>
                      <a:rPr lang="en-US" altLang="zh-CN"/>
                      <a:t>9.5%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Sheet1!$B$8:$E$8</c:f>
              <c:strCache>
                <c:ptCount val="4"/>
                <c:pt idx="0">
                  <c:v>高级</c:v>
                </c:pt>
                <c:pt idx="1">
                  <c:v>一级</c:v>
                </c:pt>
                <c:pt idx="2">
                  <c:v>二级</c:v>
                </c:pt>
                <c:pt idx="3">
                  <c:v>未评职</c:v>
                </c:pt>
              </c:strCache>
            </c:strRef>
          </c:cat>
          <c:val>
            <c:numRef>
              <c:f>Sheet1!$B$9:$E$9</c:f>
              <c:numCache>
                <c:formatCode>General</c:formatCode>
                <c:ptCount val="4"/>
                <c:pt idx="0">
                  <c:v>26</c:v>
                </c:pt>
                <c:pt idx="1">
                  <c:v>53</c:v>
                </c:pt>
                <c:pt idx="2">
                  <c:v>58</c:v>
                </c:pt>
                <c:pt idx="3">
                  <c:v>10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2-1</a:t>
            </a:r>
            <a:r>
              <a:rPr lang="en-US" altLang="zh-CN" baseline="0"/>
              <a:t>  </a:t>
            </a:r>
            <a:r>
              <a:rPr lang="zh-CN" altLang="en-US"/>
              <a:t>学生操行考核比例情况</a:t>
            </a:r>
            <a:endParaRPr lang="zh-CN" altLang="en-US"/>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Lbls>
            <c:dLbl>
              <c:idx val="0"/>
              <c:layout>
                <c:manualLayout>
                  <c:x val="0.00324486001749781"/>
                  <c:y val="-0.036524132400116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优秀</a:t>
                    </a:r>
                    <a:r>
                      <a:rPr lang="en-US" altLang="zh-CN"/>
                      <a:t>20%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271554133858268"/>
                  <c:y val="-0.058448527267424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良好</a:t>
                    </a:r>
                    <a:r>
                      <a:rPr lang="en-US" altLang="zh-CN"/>
                      <a:t>55%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7780949256343"/>
                  <c:y val="-0.073627515310586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中等</a:t>
                    </a:r>
                    <a:r>
                      <a:rPr lang="en-US" altLang="zh-CN"/>
                      <a:t>15%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422226596675416"/>
                  <c:y val="-0.013959973753280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差</a:t>
                    </a:r>
                    <a:r>
                      <a:rPr lang="en-US" altLang="zh-CN"/>
                      <a:t>10%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Sheet1!$A$2:$D$2</c:f>
              <c:strCache>
                <c:ptCount val="4"/>
                <c:pt idx="0">
                  <c:v>优秀</c:v>
                </c:pt>
                <c:pt idx="1">
                  <c:v>良好</c:v>
                </c:pt>
                <c:pt idx="2">
                  <c:v>中等</c:v>
                </c:pt>
                <c:pt idx="3">
                  <c:v>差</c:v>
                </c:pt>
              </c:strCache>
            </c:strRef>
          </c:cat>
          <c:val>
            <c:numRef>
              <c:f>Sheet1!$A$3:$D$3</c:f>
              <c:numCache>
                <c:formatCode>0.00%</c:formatCode>
                <c:ptCount val="4"/>
                <c:pt idx="0">
                  <c:v>0.28</c:v>
                </c:pt>
                <c:pt idx="1">
                  <c:v>0.42</c:v>
                </c:pt>
                <c:pt idx="2">
                  <c:v>0.222</c:v>
                </c:pt>
                <c:pt idx="3">
                  <c:v>0.078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a:t>
            </a:r>
            <a:r>
              <a:rPr lang="en-US" altLang="zh-CN" sz="1600"/>
              <a:t>2-2-1  </a:t>
            </a:r>
            <a:r>
              <a:rPr lang="zh-CN" altLang="en-US" sz="1600"/>
              <a:t>学生理论学习满意度情况</a:t>
            </a:r>
            <a:endParaRPr lang="zh-CN" altLang="en-US" sz="1600"/>
          </a:p>
        </c:rich>
      </c:tx>
      <c:layout>
        <c:manualLayout>
          <c:xMode val="edge"/>
          <c:yMode val="edge"/>
          <c:x val="0.17661254412164"/>
          <c:y val="0.0479732521277175"/>
        </c:manualLayout>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0619772528433946"/>
                  <c:y val="0.017704421562689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80%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1890367152382"/>
                  <c:y val="0.052908136482939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基本满意</a:t>
                    </a:r>
                    <a:r>
                      <a:rPr lang="en-US" altLang="zh-CN"/>
                      <a:t>15%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Sheet1!$A$1:$C$1</c:f>
              <c:strCache>
                <c:ptCount val="3"/>
                <c:pt idx="0">
                  <c:v>非常满意</c:v>
                </c:pt>
                <c:pt idx="1">
                  <c:v>基本满意</c:v>
                </c:pt>
                <c:pt idx="2">
                  <c:v>不满意</c:v>
                </c:pt>
              </c:strCache>
            </c:strRef>
          </c:cat>
          <c:val>
            <c:numRef>
              <c:f>Sheet1!$A$2:$C$2</c:f>
              <c:numCache>
                <c:formatCode>0%</c:formatCode>
                <c:ptCount val="3"/>
                <c:pt idx="0">
                  <c:v>0.64</c:v>
                </c:pt>
                <c:pt idx="1">
                  <c:v>0.28</c:v>
                </c:pt>
                <c:pt idx="2">
                  <c:v>0.08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图</a:t>
            </a:r>
            <a:r>
              <a:rPr lang="en-US" altLang="zh-CN" sz="1600"/>
              <a:t>2-2-2</a:t>
            </a:r>
            <a:r>
              <a:rPr lang="zh-CN" altLang="en-US" sz="1600"/>
              <a:t>学生专业学习满意度情况表</a:t>
            </a:r>
            <a:endParaRPr lang="zh-CN" altLang="en-US" sz="1600"/>
          </a:p>
        </c:rich>
      </c:tx>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398569553805774"/>
                  <c:y val="0.095542432195975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85%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08472222222222"/>
                  <c:y val="-0.10474701079031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基本满意</a:t>
                    </a:r>
                    <a:r>
                      <a:rPr lang="en-US" altLang="zh-CN"/>
                      <a:t>12%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67317585301837"/>
                  <c:y val="-0.012755540974044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Sheet1!$B$8:$D$8</c:f>
              <c:strCache>
                <c:ptCount val="3"/>
                <c:pt idx="0">
                  <c:v>非常满意</c:v>
                </c:pt>
                <c:pt idx="1">
                  <c:v>基本满意</c:v>
                </c:pt>
                <c:pt idx="2">
                  <c:v>不满意</c:v>
                </c:pt>
              </c:strCache>
            </c:strRef>
          </c:cat>
          <c:val>
            <c:numRef>
              <c:f>Sheet1!$B$9:$D$9</c:f>
              <c:numCache>
                <c:formatCode>0%</c:formatCode>
                <c:ptCount val="3"/>
                <c:pt idx="0">
                  <c:v>0.71</c:v>
                </c:pt>
                <c:pt idx="1">
                  <c:v>0.24</c:v>
                </c:pt>
                <c:pt idx="2">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2-2-3</a:t>
            </a:r>
            <a:r>
              <a:rPr lang="zh-CN" altLang="en-US" baseline="0"/>
              <a:t>  </a:t>
            </a:r>
            <a:r>
              <a:rPr lang="zh-CN" altLang="en-US"/>
              <a:t>学生实习满意度情况表</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933945756780403"/>
                  <c:y val="0.10968759113444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78%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232680446194226"/>
                  <c:y val="-0.053637722368037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a:t>
                    </a:r>
                    <a:r>
                      <a:rPr lang="en-US" altLang="zh-CN"/>
                      <a:t>20%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Sheet1!$B$8:$D$8</c:f>
              <c:strCache>
                <c:ptCount val="3"/>
                <c:pt idx="0">
                  <c:v>非常满意</c:v>
                </c:pt>
                <c:pt idx="1">
                  <c:v>基本满意</c:v>
                </c:pt>
                <c:pt idx="2">
                  <c:v>不满意</c:v>
                </c:pt>
              </c:strCache>
            </c:strRef>
          </c:cat>
          <c:val>
            <c:numRef>
              <c:f>Sheet1!$B$9:$D$9</c:f>
              <c:numCache>
                <c:formatCode>0%</c:formatCode>
                <c:ptCount val="3"/>
                <c:pt idx="0">
                  <c:v>0.71</c:v>
                </c:pt>
                <c:pt idx="1">
                  <c:v>0.24</c:v>
                </c:pt>
                <c:pt idx="2">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b="1" i="0" u="none" strike="noStrike" baseline="0">
                <a:effectLst/>
              </a:rPr>
              <a:t>图</a:t>
            </a:r>
            <a:r>
              <a:rPr lang="en-US" altLang="zh-CN" sz="1600" b="1" i="0" u="none" strike="noStrike" baseline="0">
                <a:effectLst/>
              </a:rPr>
              <a:t>2-2-4</a:t>
            </a:r>
            <a:r>
              <a:rPr lang="zh-CN" altLang="zh-CN" sz="1600" b="1" i="0" u="none" strike="noStrike" baseline="0">
                <a:effectLst/>
              </a:rPr>
              <a:t>校园文化与社团活动满意度</a:t>
            </a:r>
            <a:r>
              <a:rPr lang="zh-CN" altLang="en-US" sz="1600" b="1" i="0" u="none" strike="noStrike" baseline="0">
                <a:effectLst/>
              </a:rPr>
              <a:t>情况</a:t>
            </a:r>
            <a:endParaRPr lang="zh-CN" altLang="en-US" sz="1600"/>
          </a:p>
        </c:rich>
      </c:tx>
      <c:layout>
        <c:manualLayout>
          <c:xMode val="edge"/>
          <c:yMode val="edge"/>
          <c:x val="0.134298556430446"/>
          <c:y val="0.0277777777777778"/>
        </c:manualLayout>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128057742782152"/>
                  <c:y val="0.01391294838145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75%</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00218722659668"/>
                  <c:y val="-0.04756306503353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基本满意</a:t>
                    </a:r>
                    <a:r>
                      <a:rPr lang="en-US" altLang="zh-CN"/>
                      <a:t>23%</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562205818022747"/>
                  <c:y val="-0.03150007290755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Sheet1!$A$1:$C$1</c:f>
              <c:strCache>
                <c:ptCount val="3"/>
                <c:pt idx="0">
                  <c:v>非常满意</c:v>
                </c:pt>
                <c:pt idx="1">
                  <c:v>基本满意</c:v>
                </c:pt>
                <c:pt idx="2">
                  <c:v>不满意</c:v>
                </c:pt>
              </c:strCache>
            </c:strRef>
          </c:cat>
          <c:val>
            <c:numRef>
              <c:f>Sheet1!$A$2:$C$2</c:f>
              <c:numCache>
                <c:formatCode>0%</c:formatCode>
                <c:ptCount val="3"/>
                <c:pt idx="0">
                  <c:v>0.8</c:v>
                </c:pt>
                <c:pt idx="1">
                  <c:v>0.15</c:v>
                </c:pt>
                <c:pt idx="2">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effectLst/>
              </a:rPr>
              <a:t>图</a:t>
            </a:r>
            <a:r>
              <a:rPr lang="en-US" altLang="zh-CN" sz="1800" b="1" i="0" u="none" strike="noStrike" baseline="0">
                <a:effectLst/>
              </a:rPr>
              <a:t>2-2-5</a:t>
            </a:r>
            <a:r>
              <a:rPr lang="zh-CN" altLang="en-US" sz="1800" b="1" i="0" u="none" strike="noStrike" baseline="0">
                <a:effectLst/>
              </a:rPr>
              <a:t>学生生活</a:t>
            </a:r>
            <a:r>
              <a:rPr lang="zh-CN" altLang="zh-CN" sz="1800" b="1" i="0" u="none" strike="noStrike" baseline="0">
                <a:effectLst/>
              </a:rPr>
              <a:t>满意度</a:t>
            </a:r>
            <a:r>
              <a:rPr lang="zh-CN" altLang="en-US" sz="1800" b="1" i="0" u="none" strike="noStrike" baseline="0">
                <a:effectLst/>
              </a:rPr>
              <a:t>情况</a:t>
            </a:r>
            <a:endParaRPr lang="zh-CN" altLang="en-US"/>
          </a:p>
        </c:rich>
      </c:tx>
      <c:layout>
        <c:manualLayout>
          <c:xMode val="edge"/>
          <c:yMode val="edge"/>
          <c:x val="0.123901354435959"/>
          <c:y val="0"/>
        </c:manualLayout>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128057742782152"/>
                  <c:y val="0.01391294838145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90%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00218722659668"/>
                  <c:y val="-0.04756306503353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基本满意</a:t>
                    </a:r>
                    <a:r>
                      <a:rPr lang="en-US" altLang="zh-CN"/>
                      <a:t>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562205818022747"/>
                  <c:y val="-0.03150007290755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Sheet1!$A$1:$C$1</c:f>
              <c:strCache>
                <c:ptCount val="3"/>
                <c:pt idx="0">
                  <c:v>非常满意</c:v>
                </c:pt>
                <c:pt idx="1">
                  <c:v>基本满意</c:v>
                </c:pt>
                <c:pt idx="2">
                  <c:v>不满意</c:v>
                </c:pt>
              </c:strCache>
            </c:strRef>
          </c:cat>
          <c:val>
            <c:numRef>
              <c:f>Sheet1!$A$2:$C$2</c:f>
              <c:numCache>
                <c:formatCode>0%</c:formatCode>
                <c:ptCount val="3"/>
                <c:pt idx="0">
                  <c:v>0.8</c:v>
                </c:pt>
                <c:pt idx="1">
                  <c:v>0.15</c:v>
                </c:pt>
                <c:pt idx="2">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effectLst/>
              </a:rPr>
              <a:t>图</a:t>
            </a:r>
            <a:r>
              <a:rPr lang="en-US" altLang="zh-CN" sz="1800" b="1" i="0" u="none" strike="noStrike" baseline="0">
                <a:effectLst/>
              </a:rPr>
              <a:t>2-2-6</a:t>
            </a:r>
            <a:r>
              <a:rPr lang="zh-CN" altLang="en-US" sz="1800" b="1" i="0" u="none" strike="noStrike" baseline="0">
                <a:effectLst/>
              </a:rPr>
              <a:t>学生安全</a:t>
            </a:r>
            <a:r>
              <a:rPr lang="zh-CN" altLang="zh-CN" sz="1800" b="1" i="0" u="none" strike="noStrike" baseline="0">
                <a:effectLst/>
              </a:rPr>
              <a:t>满意度</a:t>
            </a:r>
            <a:r>
              <a:rPr lang="zh-CN" altLang="en-US" sz="1800" b="1" i="0" u="none" strike="noStrike" baseline="0">
                <a:effectLst/>
              </a:rPr>
              <a:t>情况</a:t>
            </a:r>
            <a:endParaRPr lang="zh-CN" altLang="en-US"/>
          </a:p>
        </c:rich>
      </c:tx>
      <c:layout/>
      <c:overlay val="0"/>
    </c:title>
    <c:autoTitleDeleted val="0"/>
    <c:plotArea>
      <c:layout/>
      <c:pieChart>
        <c:varyColors val="1"/>
        <c:ser>
          <c:idx val="0"/>
          <c:order val="0"/>
          <c:explosion val="25"/>
          <c:dPt>
            <c:idx val="0"/>
            <c:bubble3D val="0"/>
          </c:dPt>
          <c:dPt>
            <c:idx val="1"/>
            <c:bubble3D val="0"/>
          </c:dPt>
          <c:dPt>
            <c:idx val="2"/>
            <c:bubble3D val="0"/>
          </c:dPt>
          <c:dLbls>
            <c:dLbl>
              <c:idx val="0"/>
              <c:layout>
                <c:manualLayout>
                  <c:x val="0.0128057742782152"/>
                  <c:y val="0.013912948381452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非常满意</a:t>
                    </a:r>
                    <a:r>
                      <a:rPr lang="en-US" altLang="zh-CN"/>
                      <a:t>80%</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600218722659668"/>
                  <c:y val="-0.047563065033537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基本满意</a:t>
                    </a:r>
                    <a:r>
                      <a:rPr lang="en-US" altLang="zh-CN"/>
                      <a:t>18%</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562205818022747"/>
                  <c:y val="-0.031500072907553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不满意</a:t>
                    </a:r>
                    <a:r>
                      <a:rPr lang="en-US" altLang="zh-CN"/>
                      <a:t>2%</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Sheet1!$A$1:$C$1</c:f>
              <c:strCache>
                <c:ptCount val="3"/>
                <c:pt idx="0">
                  <c:v>非常满意</c:v>
                </c:pt>
                <c:pt idx="1">
                  <c:v>基本满意</c:v>
                </c:pt>
                <c:pt idx="2">
                  <c:v>不满意</c:v>
                </c:pt>
              </c:strCache>
            </c:strRef>
          </c:cat>
          <c:val>
            <c:numRef>
              <c:f>Sheet1!$A$2:$C$2</c:f>
              <c:numCache>
                <c:formatCode>0%</c:formatCode>
                <c:ptCount val="3"/>
                <c:pt idx="0">
                  <c:v>0.8</c:v>
                </c:pt>
                <c:pt idx="1">
                  <c:v>0.15</c:v>
                </c:pt>
                <c:pt idx="2">
                  <c:v>0.05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9C5B7-E6BA-4E49-89F7-E0F961F25F2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29</Pages>
  <Words>2012</Words>
  <Characters>11469</Characters>
  <Lines>95</Lines>
  <Paragraphs>26</Paragraphs>
  <TotalTime>12</TotalTime>
  <ScaleCrop>false</ScaleCrop>
  <LinksUpToDate>false</LinksUpToDate>
  <CharactersWithSpaces>13455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2021-01-06T01:25:00Z</dcterms:created>
  <dc:creator>Sky123.Org</dc:creator>
  <cp:lastModifiedBy>1997g</cp:lastModifiedBy>
  <dcterms:modified xsi:type="dcterms:W3CDTF">2021-01-07T20:45:34Z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